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20" w:after="120" w:line="360" w:lineRule="auto"/>
        <w:jc w:val="center"/>
        <w:outlineLvl w:val="0"/>
        <w:rPr>
          <w:rFonts w:hAnsi="宋体"/>
          <w:sz w:val="44"/>
          <w:szCs w:val="44"/>
        </w:rPr>
      </w:pPr>
      <w:r>
        <w:rPr>
          <w:rFonts w:hint="eastAsia" w:hAnsi="宋体"/>
          <w:sz w:val="44"/>
          <w:szCs w:val="44"/>
          <w:lang w:eastAsia="zh-CN"/>
        </w:rPr>
        <w:t>第一章</w:t>
      </w:r>
      <w:r>
        <w:rPr>
          <w:rFonts w:hint="eastAsia" w:hAnsi="宋体"/>
          <w:sz w:val="44"/>
          <w:szCs w:val="44"/>
          <w:lang w:val="en-US" w:eastAsia="zh-CN"/>
        </w:rPr>
        <w:t xml:space="preserve"> </w:t>
      </w:r>
      <w:r>
        <w:rPr>
          <w:rFonts w:hint="eastAsia" w:hAnsi="宋体"/>
          <w:sz w:val="44"/>
          <w:szCs w:val="44"/>
        </w:rPr>
        <w:t>招标项目采购需求</w:t>
      </w:r>
    </w:p>
    <w:p>
      <w:pPr>
        <w:pStyle w:val="9"/>
        <w:numPr>
          <w:ilvl w:val="0"/>
          <w:numId w:val="2"/>
        </w:numPr>
        <w:ind w:firstLineChars="0"/>
        <w:rPr>
          <w:rFonts w:ascii="宋体" w:hAnsi="宋体"/>
          <w:b/>
          <w:bCs/>
          <w:sz w:val="22"/>
          <w:szCs w:val="21"/>
        </w:rPr>
      </w:pPr>
      <w:r>
        <w:rPr>
          <w:rFonts w:hint="eastAsia" w:ascii="宋体" w:hAnsi="宋体"/>
          <w:b/>
          <w:bCs/>
          <w:sz w:val="22"/>
          <w:szCs w:val="21"/>
        </w:rPr>
        <w:t>项目要求及技术需求</w:t>
      </w:r>
    </w:p>
    <w:p>
      <w:pPr>
        <w:ind w:firstLine="422" w:firstLineChars="200"/>
        <w:rPr>
          <w:rFonts w:ascii="宋体"/>
          <w:b/>
          <w:szCs w:val="21"/>
        </w:rPr>
      </w:pPr>
    </w:p>
    <w:p>
      <w:pPr>
        <w:ind w:firstLine="422" w:firstLineChars="200"/>
        <w:rPr>
          <w:rFonts w:ascii="宋体"/>
          <w:b/>
          <w:szCs w:val="21"/>
        </w:rPr>
      </w:pPr>
      <w:r>
        <w:rPr>
          <w:rFonts w:hint="eastAsia" w:ascii="宋体"/>
          <w:b/>
          <w:szCs w:val="21"/>
        </w:rPr>
        <w:t>（一）项目采购内容</w:t>
      </w:r>
    </w:p>
    <w:tbl>
      <w:tblPr>
        <w:tblStyle w:val="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3316"/>
        <w:gridCol w:w="1441"/>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746" w:type="dxa"/>
            <w:vAlign w:val="center"/>
          </w:tcPr>
          <w:p>
            <w:pPr>
              <w:snapToGrid w:val="0"/>
              <w:spacing w:line="276" w:lineRule="auto"/>
              <w:jc w:val="center"/>
              <w:rPr>
                <w:rFonts w:ascii="宋体" w:hAnsi="宋体"/>
                <w:b/>
                <w:sz w:val="22"/>
                <w:szCs w:val="21"/>
              </w:rPr>
            </w:pPr>
            <w:r>
              <w:rPr>
                <w:rFonts w:hint="eastAsia" w:ascii="宋体" w:hAnsi="宋体"/>
                <w:b/>
                <w:sz w:val="22"/>
                <w:szCs w:val="21"/>
              </w:rPr>
              <w:t>项号</w:t>
            </w:r>
          </w:p>
        </w:tc>
        <w:tc>
          <w:tcPr>
            <w:tcW w:w="3316" w:type="dxa"/>
            <w:tcMar>
              <w:top w:w="13" w:type="dxa"/>
              <w:left w:w="57" w:type="dxa"/>
              <w:bottom w:w="0" w:type="dxa"/>
              <w:right w:w="57" w:type="dxa"/>
            </w:tcMar>
            <w:vAlign w:val="center"/>
          </w:tcPr>
          <w:p>
            <w:pPr>
              <w:snapToGrid w:val="0"/>
              <w:spacing w:line="276" w:lineRule="auto"/>
              <w:jc w:val="center"/>
              <w:rPr>
                <w:rFonts w:ascii="宋体"/>
                <w:b/>
                <w:sz w:val="22"/>
                <w:szCs w:val="21"/>
              </w:rPr>
            </w:pPr>
            <w:r>
              <w:rPr>
                <w:rFonts w:hint="eastAsia" w:ascii="宋体" w:hAnsi="宋体"/>
                <w:b/>
                <w:sz w:val="22"/>
                <w:szCs w:val="21"/>
              </w:rPr>
              <w:t>采购内容</w:t>
            </w:r>
          </w:p>
        </w:tc>
        <w:tc>
          <w:tcPr>
            <w:tcW w:w="1441" w:type="dxa"/>
            <w:tcMar>
              <w:top w:w="13" w:type="dxa"/>
              <w:left w:w="57" w:type="dxa"/>
              <w:bottom w:w="0" w:type="dxa"/>
              <w:right w:w="57" w:type="dxa"/>
            </w:tcMar>
            <w:vAlign w:val="center"/>
          </w:tcPr>
          <w:p>
            <w:pPr>
              <w:snapToGrid w:val="0"/>
              <w:spacing w:line="276" w:lineRule="auto"/>
              <w:jc w:val="center"/>
              <w:rPr>
                <w:rFonts w:ascii="宋体" w:cs="宋体"/>
                <w:kern w:val="0"/>
                <w:sz w:val="22"/>
                <w:szCs w:val="21"/>
              </w:rPr>
            </w:pPr>
            <w:r>
              <w:rPr>
                <w:rFonts w:hint="eastAsia" w:ascii="宋体" w:hAnsi="宋体" w:cs="宋体"/>
                <w:b/>
                <w:kern w:val="0"/>
                <w:sz w:val="22"/>
                <w:szCs w:val="21"/>
              </w:rPr>
              <w:t>数量及单位</w:t>
            </w:r>
          </w:p>
        </w:tc>
        <w:tc>
          <w:tcPr>
            <w:tcW w:w="3076" w:type="dxa"/>
            <w:tcMar>
              <w:top w:w="13" w:type="dxa"/>
              <w:left w:w="57" w:type="dxa"/>
              <w:bottom w:w="0" w:type="dxa"/>
              <w:right w:w="57" w:type="dxa"/>
            </w:tcMar>
            <w:vAlign w:val="center"/>
          </w:tcPr>
          <w:p>
            <w:pPr>
              <w:snapToGrid w:val="0"/>
              <w:spacing w:line="276" w:lineRule="auto"/>
              <w:jc w:val="center"/>
              <w:rPr>
                <w:rFonts w:ascii="宋体"/>
                <w:b/>
                <w:bCs/>
                <w:sz w:val="22"/>
                <w:szCs w:val="21"/>
              </w:rPr>
            </w:pPr>
            <w:r>
              <w:rPr>
                <w:rFonts w:hint="eastAsia" w:ascii="宋体" w:hAnsi="宋体"/>
                <w:b/>
                <w:bCs/>
                <w:sz w:val="22"/>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746" w:type="dxa"/>
            <w:vAlign w:val="center"/>
          </w:tcPr>
          <w:p>
            <w:pPr>
              <w:widowControl/>
              <w:spacing w:before="100" w:beforeAutospacing="1" w:after="100" w:afterAutospacing="1" w:line="440" w:lineRule="exact"/>
              <w:jc w:val="center"/>
              <w:rPr>
                <w:rFonts w:ascii="宋体" w:cs="宋体"/>
                <w:bCs/>
                <w:kern w:val="0"/>
                <w:sz w:val="24"/>
              </w:rPr>
            </w:pPr>
            <w:r>
              <w:rPr>
                <w:rFonts w:hint="eastAsia" w:ascii="宋体" w:cs="宋体"/>
                <w:bCs/>
                <w:kern w:val="0"/>
                <w:sz w:val="24"/>
              </w:rPr>
              <w:t>1</w:t>
            </w:r>
          </w:p>
        </w:tc>
        <w:tc>
          <w:tcPr>
            <w:tcW w:w="3316" w:type="dxa"/>
            <w:tcMar>
              <w:top w:w="13" w:type="dxa"/>
              <w:left w:w="57" w:type="dxa"/>
              <w:bottom w:w="0" w:type="dxa"/>
              <w:right w:w="57" w:type="dxa"/>
            </w:tcMar>
            <w:vAlign w:val="center"/>
          </w:tcPr>
          <w:p>
            <w:pPr>
              <w:widowControl/>
              <w:spacing w:before="100" w:beforeAutospacing="1" w:after="100" w:afterAutospacing="1" w:line="440" w:lineRule="exact"/>
              <w:rPr>
                <w:rFonts w:ascii="宋体" w:cs="宋体"/>
                <w:bCs/>
                <w:kern w:val="0"/>
                <w:sz w:val="24"/>
              </w:rPr>
            </w:pPr>
            <w:r>
              <w:rPr>
                <w:rFonts w:hint="eastAsia" w:ascii="宋体" w:cs="宋体"/>
                <w:bCs/>
                <w:kern w:val="0"/>
                <w:sz w:val="24"/>
              </w:rPr>
              <w:t>教学设备管理</w:t>
            </w:r>
            <w:r>
              <w:rPr>
                <w:rFonts w:ascii="宋体" w:cs="宋体"/>
                <w:bCs/>
                <w:kern w:val="0"/>
                <w:sz w:val="24"/>
              </w:rPr>
              <w:t>系统</w:t>
            </w:r>
          </w:p>
        </w:tc>
        <w:tc>
          <w:tcPr>
            <w:tcW w:w="1441" w:type="dxa"/>
            <w:tcMar>
              <w:top w:w="13" w:type="dxa"/>
              <w:left w:w="57" w:type="dxa"/>
              <w:bottom w:w="0" w:type="dxa"/>
              <w:right w:w="57" w:type="dxa"/>
            </w:tcMar>
            <w:vAlign w:val="center"/>
          </w:tcPr>
          <w:p>
            <w:pPr>
              <w:spacing w:line="440" w:lineRule="exact"/>
              <w:jc w:val="center"/>
              <w:rPr>
                <w:rFonts w:ascii="宋体" w:cs="宋体"/>
                <w:sz w:val="24"/>
              </w:rPr>
            </w:pPr>
            <w:r>
              <w:rPr>
                <w:rFonts w:hint="eastAsia" w:ascii="宋体" w:hAnsi="宋体" w:cs="宋体"/>
                <w:sz w:val="24"/>
              </w:rPr>
              <w:t>1套</w:t>
            </w:r>
          </w:p>
        </w:tc>
        <w:tc>
          <w:tcPr>
            <w:tcW w:w="3076" w:type="dxa"/>
            <w:tcMar>
              <w:top w:w="13" w:type="dxa"/>
              <w:left w:w="57" w:type="dxa"/>
              <w:bottom w:w="0" w:type="dxa"/>
              <w:right w:w="57" w:type="dxa"/>
            </w:tcMar>
            <w:vAlign w:val="center"/>
          </w:tcPr>
          <w:p>
            <w:pPr>
              <w:jc w:val="center"/>
              <w:rPr>
                <w:rFonts w:hint="eastAsia" w:ascii="宋体" w:eastAsia="宋体" w:cs="宋体"/>
                <w:sz w:val="22"/>
                <w:szCs w:val="21"/>
                <w:lang w:eastAsia="zh-CN"/>
              </w:rPr>
            </w:pPr>
            <w:r>
              <w:rPr>
                <w:rFonts w:hint="eastAsia" w:ascii="宋体" w:hAnsi="宋体" w:cs="宋体"/>
                <w:sz w:val="22"/>
                <w:szCs w:val="21"/>
              </w:rPr>
              <w:t>见下</w:t>
            </w:r>
            <w:r>
              <w:rPr>
                <w:rFonts w:hint="eastAsia" w:ascii="宋体" w:hAnsi="宋体" w:cs="宋体"/>
                <w:sz w:val="22"/>
                <w:szCs w:val="21"/>
                <w:lang w:eastAsia="zh-CN"/>
              </w:rPr>
              <w:t>文</w:t>
            </w:r>
          </w:p>
        </w:tc>
      </w:tr>
    </w:tbl>
    <w:p>
      <w:pPr>
        <w:ind w:firstLine="422" w:firstLineChars="200"/>
        <w:rPr>
          <w:rFonts w:ascii="宋体"/>
          <w:b/>
          <w:bCs/>
          <w:szCs w:val="21"/>
        </w:rPr>
      </w:pPr>
    </w:p>
    <w:p>
      <w:pPr>
        <w:adjustRightInd w:val="0"/>
        <w:snapToGrid w:val="0"/>
        <w:spacing w:line="360" w:lineRule="auto"/>
        <w:ind w:firstLine="442" w:firstLineChars="200"/>
        <w:rPr>
          <w:rFonts w:ascii="宋体"/>
          <w:b/>
          <w:bCs/>
          <w:sz w:val="22"/>
          <w:szCs w:val="21"/>
        </w:rPr>
      </w:pPr>
      <w:r>
        <w:rPr>
          <w:rFonts w:hint="eastAsia" w:ascii="宋体" w:hAnsi="宋体"/>
          <w:b/>
          <w:bCs/>
          <w:sz w:val="22"/>
          <w:szCs w:val="21"/>
        </w:rPr>
        <w:t>（二）项目总体要求：</w:t>
      </w:r>
    </w:p>
    <w:p>
      <w:pPr>
        <w:adjustRightInd w:val="0"/>
        <w:snapToGrid w:val="0"/>
        <w:spacing w:line="360" w:lineRule="auto"/>
        <w:ind w:firstLine="440" w:firstLineChars="200"/>
        <w:rPr>
          <w:rFonts w:ascii="宋体"/>
          <w:sz w:val="22"/>
          <w:szCs w:val="21"/>
        </w:rPr>
      </w:pPr>
      <w:r>
        <w:rPr>
          <w:rFonts w:hint="eastAsia" w:ascii="宋体" w:hAnsi="宋体"/>
          <w:sz w:val="22"/>
          <w:szCs w:val="21"/>
        </w:rPr>
        <w:t>1.平台要求采用B/S(浏览器/服务器)模式，使用java技术开发，数据库系统支持My</w:t>
      </w:r>
      <w:r>
        <w:rPr>
          <w:rFonts w:ascii="宋体" w:hAnsi="宋体"/>
          <w:sz w:val="22"/>
          <w:szCs w:val="21"/>
        </w:rPr>
        <w:t>S</w:t>
      </w:r>
      <w:r>
        <w:rPr>
          <w:rFonts w:hint="eastAsia" w:ascii="宋体" w:hAnsi="宋体"/>
          <w:sz w:val="22"/>
          <w:szCs w:val="21"/>
        </w:rPr>
        <w:t>ql；操作系统支持Windows 20</w:t>
      </w:r>
      <w:r>
        <w:rPr>
          <w:rFonts w:ascii="宋体" w:hAnsi="宋体"/>
          <w:sz w:val="22"/>
          <w:szCs w:val="21"/>
        </w:rPr>
        <w:t>12</w:t>
      </w:r>
      <w:r>
        <w:rPr>
          <w:rFonts w:hint="eastAsia" w:ascii="宋体" w:hAnsi="宋体"/>
          <w:sz w:val="22"/>
          <w:szCs w:val="21"/>
        </w:rPr>
        <w:t xml:space="preserve"> Server；采用领先且成熟技术实现系统功能。</w:t>
      </w:r>
    </w:p>
    <w:p>
      <w:pPr>
        <w:widowControl/>
        <w:snapToGrid w:val="0"/>
        <w:spacing w:line="360" w:lineRule="auto"/>
        <w:ind w:firstLine="389" w:firstLineChars="177"/>
        <w:jc w:val="left"/>
        <w:rPr>
          <w:rFonts w:ascii="宋体" w:hAnsi="宋体"/>
          <w:sz w:val="22"/>
          <w:szCs w:val="21"/>
        </w:rPr>
      </w:pPr>
      <w:r>
        <w:rPr>
          <w:rFonts w:hint="eastAsia" w:ascii="宋体" w:hAnsi="宋体"/>
          <w:sz w:val="22"/>
          <w:szCs w:val="21"/>
        </w:rPr>
        <w:t>3</w:t>
      </w:r>
      <w:r>
        <w:rPr>
          <w:rFonts w:ascii="宋体" w:hAnsi="宋体"/>
          <w:sz w:val="22"/>
          <w:szCs w:val="21"/>
        </w:rPr>
        <w:t>.统一数据标准，</w:t>
      </w:r>
      <w:r>
        <w:rPr>
          <w:rFonts w:hint="eastAsia" w:ascii="宋体" w:hAnsi="宋体"/>
          <w:sz w:val="22"/>
          <w:szCs w:val="21"/>
        </w:rPr>
        <w:t>采用教育部和学校的数据标准和信息规范，保证数据的充分共享。</w:t>
      </w:r>
    </w:p>
    <w:p>
      <w:pPr>
        <w:widowControl/>
        <w:snapToGrid w:val="0"/>
        <w:spacing w:line="360" w:lineRule="auto"/>
        <w:ind w:firstLine="389" w:firstLineChars="177"/>
        <w:jc w:val="left"/>
        <w:rPr>
          <w:rFonts w:ascii="宋体" w:hAnsi="宋体"/>
          <w:sz w:val="22"/>
          <w:szCs w:val="21"/>
        </w:rPr>
      </w:pPr>
      <w:r>
        <w:rPr>
          <w:rFonts w:hint="eastAsia" w:ascii="宋体" w:hAnsi="宋体"/>
          <w:sz w:val="22"/>
          <w:szCs w:val="21"/>
        </w:rPr>
        <w:t>4</w:t>
      </w:r>
      <w:r>
        <w:rPr>
          <w:rFonts w:ascii="宋体" w:hAnsi="宋体"/>
          <w:sz w:val="22"/>
          <w:szCs w:val="21"/>
        </w:rPr>
        <w:t>.</w:t>
      </w:r>
      <w:r>
        <w:rPr>
          <w:rFonts w:hint="eastAsia" w:ascii="宋体" w:hAnsi="宋体"/>
          <w:sz w:val="22"/>
          <w:szCs w:val="21"/>
        </w:rPr>
        <w:t>能</w:t>
      </w:r>
      <w:r>
        <w:rPr>
          <w:rFonts w:ascii="宋体" w:hAnsi="宋体"/>
          <w:sz w:val="22"/>
          <w:szCs w:val="21"/>
        </w:rPr>
        <w:t>够实现学校</w:t>
      </w:r>
      <w:r>
        <w:rPr>
          <w:rFonts w:hint="eastAsia" w:ascii="宋体" w:hAnsi="宋体"/>
          <w:sz w:val="22"/>
          <w:szCs w:val="21"/>
        </w:rPr>
        <w:t>各系统之间的数据通过公共数据平台共享，保证数据的实时性、唯一性和准确性。对暂时无法从公共数据平台获取的数据，支持excel等数据文件的批量导入。</w:t>
      </w:r>
    </w:p>
    <w:p>
      <w:pPr>
        <w:widowControl/>
        <w:snapToGrid w:val="0"/>
        <w:spacing w:line="360" w:lineRule="auto"/>
        <w:ind w:firstLine="389" w:firstLineChars="177"/>
        <w:jc w:val="left"/>
        <w:rPr>
          <w:rFonts w:ascii="宋体" w:hAnsi="宋体"/>
          <w:sz w:val="22"/>
          <w:szCs w:val="21"/>
        </w:rPr>
      </w:pPr>
      <w:r>
        <w:rPr>
          <w:rFonts w:hint="eastAsia" w:ascii="宋体" w:hAnsi="宋体"/>
          <w:sz w:val="22"/>
          <w:szCs w:val="21"/>
        </w:rPr>
        <w:t>5.</w:t>
      </w:r>
      <w:r>
        <w:rPr>
          <w:rFonts w:hint="eastAsia" w:ascii="宋体" w:hAnsi="宋体" w:cs="宋体"/>
          <w:sz w:val="24"/>
        </w:rPr>
        <w:t>通过学校内部系统的信息数据进行同步，当数据发生新增时，管理员在后台中点击同步按钮，此时系统会执行异步更新操作，异步同步需要学校系统提供相应字段的接口，在后台进行相应的开发获取接口内容进行同步。</w:t>
      </w:r>
    </w:p>
    <w:p>
      <w:pPr>
        <w:widowControl/>
        <w:snapToGrid w:val="0"/>
        <w:spacing w:line="360" w:lineRule="auto"/>
        <w:ind w:firstLine="389" w:firstLineChars="177"/>
        <w:jc w:val="left"/>
        <w:rPr>
          <w:rFonts w:ascii="宋体" w:hAnsi="宋体"/>
          <w:sz w:val="22"/>
          <w:szCs w:val="21"/>
        </w:rPr>
      </w:pPr>
      <w:r>
        <w:rPr>
          <w:rFonts w:ascii="宋体" w:hAnsi="宋体"/>
          <w:sz w:val="22"/>
          <w:szCs w:val="21"/>
        </w:rPr>
        <w:t>6</w:t>
      </w:r>
      <w:r>
        <w:rPr>
          <w:rFonts w:hint="eastAsia" w:ascii="宋体" w:hAnsi="宋体"/>
          <w:sz w:val="22"/>
          <w:szCs w:val="21"/>
        </w:rPr>
        <w:t>.系统集成，系统需采用统一身份认证平台实现统一认证，实现用户身份认证和单点登录功能（集成到信息门户）。</w:t>
      </w:r>
    </w:p>
    <w:p>
      <w:pPr>
        <w:widowControl/>
        <w:snapToGrid w:val="0"/>
        <w:spacing w:line="360" w:lineRule="auto"/>
        <w:ind w:firstLine="389" w:firstLineChars="177"/>
        <w:jc w:val="left"/>
        <w:rPr>
          <w:rFonts w:ascii="宋体" w:hAnsi="宋体"/>
          <w:sz w:val="22"/>
          <w:szCs w:val="21"/>
        </w:rPr>
      </w:pPr>
      <w:r>
        <w:rPr>
          <w:rFonts w:ascii="宋体" w:hAnsi="宋体"/>
          <w:sz w:val="22"/>
          <w:szCs w:val="22"/>
        </w:rPr>
        <w:t>7.</w:t>
      </w:r>
      <w:r>
        <w:rPr>
          <w:rFonts w:hint="eastAsia" w:ascii="宋体" w:hAnsi="宋体"/>
          <w:sz w:val="22"/>
          <w:szCs w:val="22"/>
        </w:rPr>
        <w:t>各系统均可在本次采购模块范围内的基础上根据学校实际需求进行二次开发。</w:t>
      </w:r>
    </w:p>
    <w:p>
      <w:pPr>
        <w:widowControl/>
        <w:snapToGrid w:val="0"/>
        <w:spacing w:line="360" w:lineRule="auto"/>
        <w:ind w:firstLine="389" w:firstLineChars="177"/>
        <w:jc w:val="left"/>
        <w:rPr>
          <w:rFonts w:ascii="宋体" w:hAnsi="宋体"/>
          <w:sz w:val="22"/>
          <w:szCs w:val="21"/>
        </w:rPr>
      </w:pPr>
      <w:r>
        <w:rPr>
          <w:rFonts w:ascii="宋体" w:hAnsi="宋体"/>
          <w:sz w:val="22"/>
          <w:szCs w:val="22"/>
        </w:rPr>
        <w:t>8</w:t>
      </w:r>
      <w:r>
        <w:rPr>
          <w:rFonts w:hint="eastAsia" w:ascii="宋体" w:hAnsi="宋体"/>
          <w:sz w:val="22"/>
          <w:szCs w:val="22"/>
        </w:rPr>
        <w:t>.</w:t>
      </w:r>
      <w:r>
        <w:rPr>
          <w:rFonts w:hint="eastAsia" w:ascii="宋体" w:hAnsi="宋体"/>
          <w:color w:val="000000" w:themeColor="text1"/>
          <w:sz w:val="22"/>
          <w:szCs w:val="22"/>
          <w14:textFill>
            <w14:solidFill>
              <w14:schemeClr w14:val="tx1"/>
            </w14:solidFill>
          </w14:textFill>
        </w:rPr>
        <w:t>经学校审批同意后，要求向学校免费开放系统（平台）所有接口和协议，以便第三方与系统进行兼容对接。</w:t>
      </w:r>
    </w:p>
    <w:p>
      <w:pPr>
        <w:widowControl/>
        <w:snapToGrid w:val="0"/>
        <w:spacing w:line="360" w:lineRule="auto"/>
        <w:ind w:firstLine="389" w:firstLineChars="177"/>
        <w:jc w:val="left"/>
        <w:rPr>
          <w:rFonts w:ascii="宋体" w:hAnsi="宋体"/>
          <w:sz w:val="22"/>
          <w:szCs w:val="22"/>
        </w:rPr>
      </w:pPr>
      <w:r>
        <w:rPr>
          <w:rFonts w:ascii="宋体" w:hAnsi="宋体"/>
          <w:sz w:val="22"/>
          <w:szCs w:val="22"/>
        </w:rPr>
        <w:t>9</w:t>
      </w:r>
      <w:r>
        <w:rPr>
          <w:rFonts w:hint="eastAsia" w:ascii="宋体" w:hAnsi="宋体"/>
          <w:sz w:val="22"/>
          <w:szCs w:val="22"/>
        </w:rPr>
        <w:t>.要求基础系统（平台）能够与学校现有或者未来使用的并能开放出接口的应用系统进行兼容、对接，实现数据共享。</w:t>
      </w:r>
    </w:p>
    <w:p>
      <w:pPr>
        <w:widowControl/>
        <w:snapToGrid w:val="0"/>
        <w:spacing w:line="360" w:lineRule="auto"/>
        <w:ind w:firstLine="389" w:firstLineChars="177"/>
        <w:jc w:val="left"/>
        <w:rPr>
          <w:rFonts w:ascii="宋体" w:hAnsi="宋体"/>
          <w:sz w:val="22"/>
          <w:szCs w:val="22"/>
        </w:rPr>
      </w:pPr>
      <w:r>
        <w:rPr>
          <w:rFonts w:ascii="宋体" w:hAnsi="宋体"/>
          <w:sz w:val="22"/>
          <w:szCs w:val="22"/>
        </w:rPr>
        <w:t>10</w:t>
      </w:r>
      <w:r>
        <w:rPr>
          <w:rFonts w:hint="eastAsia" w:ascii="宋体" w:hAnsi="宋体"/>
          <w:sz w:val="22"/>
          <w:szCs w:val="22"/>
        </w:rPr>
        <w:t>.系统应具备安全性特质，能够对关键数据进行数据加密。</w:t>
      </w:r>
    </w:p>
    <w:p>
      <w:pPr>
        <w:widowControl/>
        <w:snapToGrid w:val="0"/>
        <w:spacing w:line="360" w:lineRule="auto"/>
        <w:ind w:firstLine="389" w:firstLineChars="177"/>
        <w:jc w:val="left"/>
        <w:rPr>
          <w:rFonts w:ascii="宋体" w:hAnsi="宋体"/>
          <w:sz w:val="22"/>
          <w:szCs w:val="22"/>
        </w:rPr>
      </w:pPr>
      <w:r>
        <w:rPr>
          <w:rFonts w:hint="eastAsia" w:ascii="宋体" w:hAnsi="宋体"/>
          <w:sz w:val="22"/>
          <w:szCs w:val="22"/>
        </w:rPr>
        <w:t>1</w:t>
      </w:r>
      <w:r>
        <w:rPr>
          <w:rFonts w:ascii="宋体" w:hAnsi="宋体"/>
          <w:sz w:val="22"/>
          <w:szCs w:val="22"/>
        </w:rPr>
        <w:t>1</w:t>
      </w:r>
      <w:r>
        <w:rPr>
          <w:rFonts w:hint="eastAsia" w:ascii="宋体" w:hAnsi="宋体"/>
          <w:sz w:val="22"/>
          <w:szCs w:val="22"/>
        </w:rPr>
        <w:t>.系统安全等级满足信息系统等级保护二级要求，如不满足则有义务配合整改至系统达到二级等保要求。</w:t>
      </w:r>
    </w:p>
    <w:p>
      <w:pPr>
        <w:widowControl/>
        <w:snapToGrid w:val="0"/>
        <w:spacing w:line="360" w:lineRule="auto"/>
        <w:ind w:firstLine="389" w:firstLineChars="177"/>
        <w:jc w:val="left"/>
        <w:rPr>
          <w:rFonts w:ascii="宋体" w:hAnsi="宋体"/>
          <w:color w:val="000000" w:themeColor="text1"/>
          <w:sz w:val="22"/>
          <w:szCs w:val="22"/>
          <w14:textFill>
            <w14:solidFill>
              <w14:schemeClr w14:val="tx1"/>
            </w14:solidFill>
          </w14:textFill>
        </w:rPr>
      </w:pPr>
      <w:r>
        <w:rPr>
          <w:rFonts w:hint="eastAsia" w:ascii="宋体" w:hAnsi="宋体"/>
          <w:sz w:val="22"/>
          <w:szCs w:val="22"/>
        </w:rPr>
        <w:t>1</w:t>
      </w:r>
      <w:r>
        <w:rPr>
          <w:rFonts w:ascii="宋体" w:hAnsi="宋体"/>
          <w:sz w:val="22"/>
          <w:szCs w:val="22"/>
        </w:rPr>
        <w:t>2</w:t>
      </w:r>
      <w:r>
        <w:rPr>
          <w:rFonts w:hint="eastAsia" w:ascii="宋体" w:hAnsi="宋体"/>
          <w:sz w:val="22"/>
          <w:szCs w:val="22"/>
        </w:rPr>
        <w:t>.中标单位必须承诺，系统正式上线使用后，定期进行更新和检查。采购方在使用系统的过程中，如因系</w:t>
      </w:r>
      <w:r>
        <w:rPr>
          <w:rFonts w:hint="eastAsia" w:ascii="宋体" w:hAnsi="宋体"/>
          <w:color w:val="000000" w:themeColor="text1"/>
          <w:sz w:val="22"/>
          <w:szCs w:val="22"/>
          <w14:textFill>
            <w14:solidFill>
              <w14:schemeClr w14:val="tx1"/>
            </w14:solidFill>
          </w14:textFill>
        </w:rPr>
        <w:t>统本身的漏洞产生的系统瘫痪或者其它相关原因导致的安全问题，均由中标单位负责。</w:t>
      </w:r>
    </w:p>
    <w:p>
      <w:pPr>
        <w:widowControl/>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br w:type="page"/>
      </w:r>
    </w:p>
    <w:p>
      <w:pPr>
        <w:spacing w:line="360" w:lineRule="auto"/>
        <w:ind w:firstLine="442" w:firstLineChars="200"/>
        <w:rPr>
          <w:rFonts w:ascii="宋体"/>
          <w:b/>
          <w:bCs/>
          <w:sz w:val="22"/>
          <w:szCs w:val="21"/>
        </w:rPr>
      </w:pPr>
      <w:r>
        <w:rPr>
          <w:rFonts w:hint="eastAsia" w:ascii="宋体" w:hAnsi="宋体"/>
          <w:b/>
          <w:bCs/>
          <w:sz w:val="22"/>
          <w:szCs w:val="21"/>
        </w:rPr>
        <w:t>二、建设内容具体要求和技术需求</w:t>
      </w:r>
    </w:p>
    <w:tbl>
      <w:tblPr>
        <w:tblStyle w:val="7"/>
        <w:tblW w:w="5000" w:type="pct"/>
        <w:tblInd w:w="0" w:type="dxa"/>
        <w:tblLayout w:type="fixed"/>
        <w:tblCellMar>
          <w:top w:w="0" w:type="dxa"/>
          <w:left w:w="108" w:type="dxa"/>
          <w:bottom w:w="0" w:type="dxa"/>
          <w:right w:w="108" w:type="dxa"/>
        </w:tblCellMar>
      </w:tblPr>
      <w:tblGrid>
        <w:gridCol w:w="575"/>
        <w:gridCol w:w="876"/>
        <w:gridCol w:w="337"/>
        <w:gridCol w:w="605"/>
        <w:gridCol w:w="721"/>
        <w:gridCol w:w="5408"/>
      </w:tblGrid>
      <w:tr>
        <w:tblPrEx>
          <w:tblCellMar>
            <w:top w:w="0" w:type="dxa"/>
            <w:left w:w="108" w:type="dxa"/>
            <w:bottom w:w="0" w:type="dxa"/>
            <w:right w:w="108" w:type="dxa"/>
          </w:tblCellMar>
        </w:tblPrEx>
        <w:trPr>
          <w:trHeight w:val="630" w:hRule="atLeast"/>
        </w:trPr>
        <w:tc>
          <w:tcPr>
            <w:tcW w:w="33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Calibri"/>
                <w:b/>
                <w:bCs/>
              </w:rPr>
            </w:pPr>
            <w:r>
              <w:rPr>
                <w:rFonts w:hint="eastAsia"/>
                <w:b/>
                <w:bCs/>
              </w:rPr>
              <w:t>序号</w:t>
            </w:r>
          </w:p>
        </w:tc>
        <w:tc>
          <w:tcPr>
            <w:tcW w:w="711" w:type="pct"/>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hAnsi="Calibri"/>
                <w:b/>
                <w:bCs/>
              </w:rPr>
            </w:pPr>
            <w:r>
              <w:rPr>
                <w:rFonts w:hint="eastAsia"/>
                <w:b/>
                <w:bCs/>
              </w:rPr>
              <w:t>货物名称</w:t>
            </w:r>
          </w:p>
        </w:tc>
        <w:tc>
          <w:tcPr>
            <w:tcW w:w="354" w:type="pct"/>
            <w:tcBorders>
              <w:top w:val="single" w:color="auto" w:sz="4" w:space="0"/>
              <w:left w:val="nil"/>
              <w:bottom w:val="single" w:color="auto" w:sz="4" w:space="0"/>
              <w:right w:val="single" w:color="auto" w:sz="4" w:space="0"/>
            </w:tcBorders>
            <w:noWrap/>
            <w:vAlign w:val="center"/>
          </w:tcPr>
          <w:p>
            <w:pPr>
              <w:spacing w:line="360" w:lineRule="auto"/>
              <w:jc w:val="center"/>
              <w:rPr>
                <w:rFonts w:hAnsi="Calibri"/>
                <w:b/>
                <w:bCs/>
              </w:rPr>
            </w:pPr>
            <w:r>
              <w:rPr>
                <w:rFonts w:hint="eastAsia"/>
                <w:b/>
                <w:bCs/>
              </w:rPr>
              <w:t>数量</w:t>
            </w:r>
          </w:p>
        </w:tc>
        <w:tc>
          <w:tcPr>
            <w:tcW w:w="423" w:type="pct"/>
            <w:tcBorders>
              <w:top w:val="single" w:color="auto" w:sz="4" w:space="0"/>
              <w:left w:val="nil"/>
              <w:bottom w:val="single" w:color="auto" w:sz="4" w:space="0"/>
              <w:right w:val="single" w:color="auto" w:sz="4" w:space="0"/>
            </w:tcBorders>
            <w:noWrap/>
            <w:vAlign w:val="center"/>
          </w:tcPr>
          <w:p>
            <w:pPr>
              <w:spacing w:line="360" w:lineRule="auto"/>
              <w:jc w:val="center"/>
              <w:rPr>
                <w:rFonts w:hAnsi="Calibri"/>
                <w:b/>
                <w:bCs/>
              </w:rPr>
            </w:pPr>
            <w:r>
              <w:rPr>
                <w:rFonts w:hint="eastAsia"/>
                <w:b/>
                <w:bCs/>
              </w:rPr>
              <w:t>单位</w:t>
            </w:r>
          </w:p>
        </w:tc>
        <w:tc>
          <w:tcPr>
            <w:tcW w:w="3172" w:type="pct"/>
            <w:tcBorders>
              <w:top w:val="single" w:color="auto" w:sz="4" w:space="0"/>
              <w:left w:val="nil"/>
              <w:bottom w:val="single" w:color="auto" w:sz="4" w:space="0"/>
              <w:right w:val="single" w:color="auto" w:sz="4" w:space="0"/>
            </w:tcBorders>
            <w:vAlign w:val="center"/>
          </w:tcPr>
          <w:p>
            <w:pPr>
              <w:spacing w:line="360" w:lineRule="auto"/>
              <w:jc w:val="center"/>
              <w:rPr>
                <w:b/>
                <w:bCs/>
              </w:rPr>
            </w:pPr>
            <w:r>
              <w:rPr>
                <w:rFonts w:hint="eastAsia"/>
                <w:b/>
                <w:bCs/>
              </w:rPr>
              <w:t>项目要求(或技术参数需求)</w:t>
            </w:r>
          </w:p>
        </w:tc>
      </w:tr>
      <w:tr>
        <w:tblPrEx>
          <w:tblCellMar>
            <w:top w:w="0" w:type="dxa"/>
            <w:left w:w="108" w:type="dxa"/>
            <w:bottom w:w="0" w:type="dxa"/>
            <w:right w:w="108" w:type="dxa"/>
          </w:tblCellMar>
        </w:tblPrEx>
        <w:trPr>
          <w:trHeight w:val="841" w:hRule="atLeast"/>
        </w:trPr>
        <w:tc>
          <w:tcPr>
            <w:tcW w:w="33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Calibri"/>
              </w:rPr>
            </w:pPr>
            <w:r>
              <w:rPr>
                <w:rFonts w:hint="eastAsia"/>
              </w:rPr>
              <w:t>1</w:t>
            </w:r>
          </w:p>
        </w:tc>
        <w:tc>
          <w:tcPr>
            <w:tcW w:w="711" w:type="pct"/>
            <w:gridSpan w:val="2"/>
            <w:tcBorders>
              <w:top w:val="single" w:color="auto" w:sz="4" w:space="0"/>
              <w:left w:val="nil"/>
              <w:bottom w:val="single" w:color="auto" w:sz="4" w:space="0"/>
              <w:right w:val="single" w:color="auto" w:sz="4" w:space="0"/>
            </w:tcBorders>
            <w:noWrap/>
            <w:vAlign w:val="center"/>
          </w:tcPr>
          <w:p>
            <w:pPr>
              <w:spacing w:line="360" w:lineRule="auto"/>
              <w:jc w:val="center"/>
              <w:textAlignment w:val="center"/>
            </w:pPr>
            <w:r>
              <w:rPr>
                <w:rFonts w:hint="eastAsia"/>
              </w:rPr>
              <w:t>设备管理系统</w:t>
            </w:r>
          </w:p>
        </w:tc>
        <w:tc>
          <w:tcPr>
            <w:tcW w:w="354" w:type="pct"/>
            <w:tcBorders>
              <w:top w:val="single" w:color="auto" w:sz="4" w:space="0"/>
              <w:left w:val="nil"/>
              <w:bottom w:val="single" w:color="auto" w:sz="4" w:space="0"/>
              <w:right w:val="single" w:color="auto" w:sz="4" w:space="0"/>
            </w:tcBorders>
            <w:noWrap/>
            <w:vAlign w:val="center"/>
          </w:tcPr>
          <w:p>
            <w:pPr>
              <w:pStyle w:val="10"/>
              <w:spacing w:line="360" w:lineRule="auto"/>
              <w:ind w:left="840" w:hanging="420"/>
              <w:jc w:val="center"/>
              <w:rPr>
                <w:rFonts w:ascii="宋体" w:hAnsi="宋体" w:eastAsia="宋体"/>
                <w:color w:val="auto"/>
                <w:sz w:val="21"/>
                <w:szCs w:val="21"/>
              </w:rPr>
            </w:pPr>
            <w:r>
              <w:rPr>
                <w:rFonts w:hint="eastAsia" w:ascii="宋体" w:hAnsi="宋体" w:eastAsia="宋体"/>
                <w:color w:val="auto"/>
                <w:sz w:val="21"/>
                <w:szCs w:val="21"/>
              </w:rPr>
              <w:t>1</w:t>
            </w:r>
          </w:p>
        </w:tc>
        <w:tc>
          <w:tcPr>
            <w:tcW w:w="423" w:type="pct"/>
            <w:tcBorders>
              <w:top w:val="single" w:color="auto" w:sz="4" w:space="0"/>
              <w:left w:val="nil"/>
              <w:bottom w:val="single" w:color="auto" w:sz="4" w:space="0"/>
              <w:right w:val="single" w:color="auto" w:sz="4" w:space="0"/>
            </w:tcBorders>
            <w:noWrap/>
            <w:vAlign w:val="center"/>
          </w:tcPr>
          <w:p>
            <w:pPr>
              <w:pStyle w:val="10"/>
              <w:spacing w:line="360" w:lineRule="auto"/>
              <w:ind w:left="840" w:hanging="420"/>
              <w:jc w:val="center"/>
              <w:rPr>
                <w:rFonts w:ascii="宋体" w:hAnsi="宋体" w:eastAsia="宋体"/>
                <w:color w:val="auto"/>
                <w:sz w:val="21"/>
                <w:szCs w:val="21"/>
              </w:rPr>
            </w:pPr>
            <w:r>
              <w:rPr>
                <w:rFonts w:hint="eastAsia" w:ascii="宋体" w:hAnsi="宋体" w:eastAsia="宋体"/>
                <w:color w:val="auto"/>
                <w:sz w:val="21"/>
                <w:szCs w:val="21"/>
              </w:rPr>
              <w:t>套</w:t>
            </w:r>
          </w:p>
        </w:tc>
        <w:tc>
          <w:tcPr>
            <w:tcW w:w="3172" w:type="pct"/>
            <w:tcBorders>
              <w:top w:val="single" w:color="auto" w:sz="4" w:space="0"/>
              <w:left w:val="nil"/>
              <w:bottom w:val="single" w:color="auto" w:sz="4" w:space="0"/>
              <w:right w:val="single" w:color="auto" w:sz="4" w:space="0"/>
            </w:tcBorders>
            <w:vAlign w:val="center"/>
          </w:tcPr>
          <w:p>
            <w:pPr>
              <w:spacing w:line="360" w:lineRule="auto"/>
              <w:ind w:firstLine="422" w:firstLineChars="200"/>
              <w:rPr>
                <w:rFonts w:ascii="Calibri" w:hAnsi="Calibri"/>
                <w:b/>
                <w:bCs/>
              </w:rPr>
            </w:pPr>
            <w:r>
              <w:rPr>
                <w:rFonts w:hint="eastAsia"/>
                <w:b/>
                <w:bCs/>
              </w:rPr>
              <w:t>一、建设目标</w:t>
            </w:r>
          </w:p>
          <w:p>
            <w:pPr>
              <w:spacing w:line="360" w:lineRule="auto"/>
              <w:ind w:firstLine="420" w:firstLineChars="200"/>
            </w:pPr>
            <w:r>
              <w:rPr>
                <w:rFonts w:hint="eastAsia"/>
              </w:rPr>
              <w:t>通过信息化的方式提高信息的一致性和准确性，通过帮助学校管理者在设备管理的各环节中协同处理，信息共享，使学校达到以下目的</w:t>
            </w:r>
            <w:r>
              <w:t>:</w:t>
            </w:r>
          </w:p>
          <w:p>
            <w:pPr>
              <w:spacing w:line="360" w:lineRule="auto"/>
              <w:ind w:firstLine="420" w:firstLineChars="200"/>
            </w:pPr>
            <w:r>
              <w:t>1.促进</w:t>
            </w:r>
            <w:r>
              <w:rPr>
                <w:rFonts w:hint="eastAsia"/>
              </w:rPr>
              <w:t>学校</w:t>
            </w:r>
            <w:r>
              <w:t>信息化管理改革。设备管理系统实施将为</w:t>
            </w:r>
            <w:r>
              <w:rPr>
                <w:rFonts w:hint="eastAsia"/>
              </w:rPr>
              <w:t>学校</w:t>
            </w:r>
            <w:r>
              <w:t>进行信息化管</w:t>
            </w:r>
            <w:r>
              <w:rPr>
                <w:rFonts w:hint="eastAsia"/>
              </w:rPr>
              <w:t>理改革、提升学校竞争力提供强有力的技术保障，同时直接带来了巨大的经济效益和管理效率的提升。</w:t>
            </w:r>
          </w:p>
          <w:p>
            <w:pPr>
              <w:spacing w:line="360" w:lineRule="auto"/>
              <w:ind w:firstLine="420" w:firstLineChars="200"/>
            </w:pPr>
            <w:r>
              <w:t>2．计划调度科学化。实现设备在整个生命周期中综合投资效益和生产效</w:t>
            </w:r>
            <w:r>
              <w:rPr>
                <w:rFonts w:hint="eastAsia"/>
              </w:rPr>
              <w:t>益达到最佳的平衡，最大限度消除计划管理瓶颈。</w:t>
            </w:r>
          </w:p>
          <w:p>
            <w:pPr>
              <w:spacing w:line="360" w:lineRule="auto"/>
              <w:ind w:firstLine="420" w:firstLineChars="200"/>
            </w:pPr>
            <w:r>
              <w:t>3.保障设备顺利使用。实现设备集中计划管理，引入设备维修保养技术</w:t>
            </w:r>
            <w:r>
              <w:rPr>
                <w:rFonts w:hint="eastAsia"/>
              </w:rPr>
              <w:t>标准，实施维修保养计划管理。从而保证设备质量，降低设备故障率和事故率，避免人为原因造成的损失。</w:t>
            </w:r>
          </w:p>
          <w:p>
            <w:pPr>
              <w:spacing w:line="360" w:lineRule="auto"/>
              <w:ind w:firstLine="420" w:firstLineChars="200"/>
            </w:pPr>
            <w:r>
              <w:t>4．提供管理决策支持。管理者可随时随地掌握设备使用状况，将一系列</w:t>
            </w:r>
            <w:r>
              <w:rPr>
                <w:rFonts w:hint="eastAsia"/>
              </w:rPr>
              <w:t>客观的数据，通过计算机系统进行科学汇总分析，有利于领导进行学校管理决策。</w:t>
            </w:r>
          </w:p>
          <w:p>
            <w:pPr>
              <w:spacing w:line="360" w:lineRule="auto"/>
              <w:ind w:firstLine="422" w:firstLineChars="200"/>
              <w:rPr>
                <w:b/>
              </w:rPr>
            </w:pPr>
            <w:r>
              <w:rPr>
                <w:rFonts w:hint="eastAsia"/>
                <w:b/>
              </w:rPr>
              <w:t>二、系统总体要求</w:t>
            </w:r>
          </w:p>
          <w:p>
            <w:pPr>
              <w:spacing w:line="360" w:lineRule="auto"/>
              <w:ind w:firstLine="420" w:firstLineChars="200"/>
            </w:pPr>
            <w:r>
              <w:t>1.系统架构为B/S结构，</w:t>
            </w:r>
            <w:r>
              <w:rPr>
                <w:rFonts w:hint="eastAsia"/>
              </w:rPr>
              <w:t>采用开源及跨平台的JavaEE 开发框架</w:t>
            </w:r>
            <w:r>
              <w:t>，前端使用Html5+CSS3标准。</w:t>
            </w:r>
          </w:p>
          <w:p>
            <w:pPr>
              <w:spacing w:line="360" w:lineRule="auto"/>
              <w:ind w:firstLine="420" w:firstLineChars="200"/>
            </w:pPr>
            <w:r>
              <w:t>2.管理系统软件必须支持分布式部署。</w:t>
            </w:r>
          </w:p>
          <w:p>
            <w:pPr>
              <w:spacing w:line="360" w:lineRule="auto"/>
              <w:ind w:firstLine="420" w:firstLineChars="200"/>
            </w:pPr>
            <w:r>
              <w:t>3.管理系统软件必须支持三级缓存，保证系统的性能。</w:t>
            </w:r>
          </w:p>
          <w:p>
            <w:pPr>
              <w:spacing w:line="360" w:lineRule="auto"/>
              <w:ind w:firstLine="420" w:firstLineChars="200"/>
            </w:pPr>
            <w:r>
              <w:t>4.可灵活批量导入或导出数据，导出时可指定字段，实现与第三方系统的数据交换。</w:t>
            </w:r>
          </w:p>
          <w:p>
            <w:pPr>
              <w:spacing w:line="360" w:lineRule="auto"/>
              <w:ind w:firstLine="420" w:firstLineChars="200"/>
            </w:pPr>
            <w:r>
              <w:t>5.系统应能支持≥2000人同时在线使用，支持负载均衡；系统各页面平均响应时间≤3秒；执行全文检索或同条检索时，平均响应时间不得超过5秒；在执行智能问答、智能推送、智能审核等功能的相关操作时，平均响应时间不得超过10秒。</w:t>
            </w:r>
          </w:p>
          <w:p>
            <w:pPr>
              <w:spacing w:line="360" w:lineRule="auto"/>
              <w:ind w:firstLine="420" w:firstLineChars="200"/>
            </w:pPr>
            <w:r>
              <w:t>6.跨平台性：数据库服务器系统、Web服务器系统和应用服务器系统可以运行于包括Windows 2008/2012/2016、Unix、Linux（CentOS、Red Hat Linux）和国产服务器操作系统(中标麒麟、银河麒麟/以及UOS)等多种操作系统平台上。</w:t>
            </w:r>
          </w:p>
          <w:p>
            <w:pPr>
              <w:spacing w:line="360" w:lineRule="auto"/>
              <w:ind w:firstLine="420" w:firstLineChars="200"/>
            </w:pPr>
            <w:r>
              <w:t>7.</w:t>
            </w:r>
            <w:r>
              <w:rPr>
                <w:rFonts w:hint="eastAsia"/>
              </w:rPr>
              <w:t>系统支持mysql数据库</w:t>
            </w:r>
            <w:r>
              <w:t>和国产数据库(如达梦、金仓等)，数据库软件由采购方进行提供。</w:t>
            </w:r>
          </w:p>
          <w:p>
            <w:pPr>
              <w:spacing w:line="360" w:lineRule="auto"/>
              <w:ind w:firstLine="420" w:firstLineChars="200"/>
            </w:pPr>
            <w:r>
              <w:t>8.★安全要求：系统支持Docker集群部署，HTTPS协议传输，敏感数据使用算法（如RSA、AES等）加密存储。</w:t>
            </w:r>
          </w:p>
          <w:p>
            <w:pPr>
              <w:spacing w:line="360" w:lineRule="auto"/>
              <w:ind w:firstLine="420" w:firstLineChars="200"/>
            </w:pPr>
            <w:r>
              <w:t>9.提供在线运维以及功能升级服务（可在系统不间断运行条件下在线监控系统运行状态、处理系统故障、系统后续改造升级等服务）。</w:t>
            </w:r>
          </w:p>
          <w:p>
            <w:pPr>
              <w:spacing w:line="360" w:lineRule="auto"/>
              <w:ind w:firstLine="420" w:firstLineChars="200"/>
            </w:pPr>
            <w:r>
              <w:t>10.系统遵循学校管理信息标准，与学校数据中心无缝对接，必须实现与共享数据中心的数据交换和共享，敏感数据加密存储。</w:t>
            </w:r>
          </w:p>
          <w:p>
            <w:pPr>
              <w:spacing w:line="360" w:lineRule="auto"/>
              <w:ind w:firstLine="420" w:firstLineChars="200"/>
            </w:pPr>
            <w:r>
              <w:t>11.★底层架构采用XCode（NewLife.XCode为主流的开源数据映射框架，包括且大于ORM的范围）框架，通过零配置实现分表或分库。根据实体类主动建立数据库表结构并初始化数据，无限分表分库，支持任意数据库，无需修改业务代码。</w:t>
            </w:r>
          </w:p>
          <w:p>
            <w:pPr>
              <w:spacing w:line="360" w:lineRule="auto"/>
              <w:ind w:firstLine="422" w:firstLineChars="200"/>
            </w:pPr>
            <w:r>
              <w:rPr>
                <w:rFonts w:hint="eastAsia"/>
                <w:b/>
                <w:bCs/>
              </w:rPr>
              <w:t>三．功能需求</w:t>
            </w:r>
          </w:p>
          <w:p>
            <w:pPr>
              <w:spacing w:line="360" w:lineRule="auto"/>
              <w:ind w:firstLine="422" w:firstLineChars="200"/>
              <w:rPr>
                <w:b/>
                <w:bCs/>
              </w:rPr>
            </w:pPr>
            <w:r>
              <w:rPr>
                <w:rFonts w:hint="eastAsia"/>
                <w:b/>
                <w:bCs/>
              </w:rPr>
              <w:t>1.管理端（PC端）</w:t>
            </w:r>
          </w:p>
          <w:p>
            <w:pPr>
              <w:spacing w:line="360" w:lineRule="auto"/>
              <w:ind w:firstLine="422" w:firstLineChars="200"/>
              <w:rPr>
                <w:b/>
                <w:bCs/>
              </w:rPr>
            </w:pPr>
            <w:r>
              <w:rPr>
                <w:b/>
                <w:bCs/>
              </w:rPr>
              <w:t>1.1设备信息同步</w:t>
            </w:r>
          </w:p>
          <w:p>
            <w:pPr>
              <w:spacing w:line="360" w:lineRule="auto"/>
              <w:ind w:firstLine="422" w:firstLineChars="200"/>
              <w:rPr>
                <w:b/>
                <w:bCs/>
              </w:rPr>
            </w:pPr>
            <w:r>
              <w:rPr>
                <w:b/>
                <w:bCs/>
              </w:rPr>
              <w:t>1.1.1数据对接</w:t>
            </w:r>
          </w:p>
          <w:p>
            <w:pPr>
              <w:spacing w:line="360" w:lineRule="auto"/>
              <w:ind w:firstLine="420" w:firstLineChars="200"/>
            </w:pPr>
            <w:r>
              <w:t>支持与</w:t>
            </w:r>
            <w:r>
              <w:rPr>
                <w:rFonts w:hint="eastAsia"/>
              </w:rPr>
              <w:t>学校</w:t>
            </w:r>
            <w:r>
              <w:t>数据中心、资产管理系统进行数据对接，</w:t>
            </w:r>
            <w:r>
              <w:rPr>
                <w:rFonts w:hint="eastAsia"/>
              </w:rPr>
              <w:t>通过同步</w:t>
            </w:r>
            <w:r>
              <w:t>接口</w:t>
            </w:r>
            <w:r>
              <w:rPr>
                <w:rFonts w:hint="eastAsia"/>
              </w:rPr>
              <w:t>、数据试图、</w:t>
            </w:r>
            <w:r>
              <w:t>kettle</w:t>
            </w:r>
            <w:r>
              <w:rPr>
                <w:rFonts w:hint="eastAsia"/>
              </w:rPr>
              <w:t>工具</w:t>
            </w:r>
            <w:r>
              <w:t>等数据同步</w:t>
            </w:r>
            <w:r>
              <w:rPr>
                <w:rFonts w:hint="eastAsia"/>
              </w:rPr>
              <w:t>方式</w:t>
            </w:r>
            <w:r>
              <w:t>，完成原始设备信息的定期、自动</w:t>
            </w:r>
            <w:r>
              <w:rPr>
                <w:rFonts w:hint="eastAsia"/>
              </w:rPr>
              <w:t>、</w:t>
            </w:r>
            <w:r>
              <w:t>手动同步获取。</w:t>
            </w:r>
          </w:p>
          <w:p>
            <w:pPr>
              <w:spacing w:line="360" w:lineRule="auto"/>
              <w:ind w:firstLine="422" w:firstLineChars="200"/>
              <w:rPr>
                <w:b/>
              </w:rPr>
            </w:pPr>
            <w:r>
              <w:rPr>
                <w:b/>
              </w:rPr>
              <w:t>1.2设备信息维护</w:t>
            </w:r>
          </w:p>
          <w:p>
            <w:pPr>
              <w:spacing w:line="360" w:lineRule="auto"/>
              <w:ind w:firstLine="422" w:firstLineChars="200"/>
              <w:rPr>
                <w:b/>
              </w:rPr>
            </w:pPr>
            <w:r>
              <w:rPr>
                <w:b/>
              </w:rPr>
              <w:t>1.2.1设备维护</w:t>
            </w:r>
          </w:p>
          <w:p>
            <w:pPr>
              <w:spacing w:line="360" w:lineRule="auto"/>
              <w:ind w:firstLine="420" w:firstLineChars="200"/>
            </w:pPr>
            <w:r>
              <w:t>提供设备信息查看和维护功能，并且支持通过设备类别、编号进行检索，维护的设备信息包含分类、名称、规格、保质期、设备状态、二维码等信息、机身码。</w:t>
            </w:r>
          </w:p>
          <w:p>
            <w:pPr>
              <w:spacing w:line="360" w:lineRule="auto"/>
              <w:ind w:firstLine="422" w:firstLineChars="200"/>
              <w:rPr>
                <w:b/>
              </w:rPr>
            </w:pPr>
            <w:r>
              <w:rPr>
                <w:b/>
              </w:rPr>
              <w:t>1.2.2状态管理</w:t>
            </w:r>
          </w:p>
          <w:p>
            <w:pPr>
              <w:spacing w:line="360" w:lineRule="auto"/>
              <w:ind w:firstLine="420" w:firstLineChars="200"/>
            </w:pPr>
            <w:r>
              <w:rPr>
                <w:rFonts w:hint="eastAsia"/>
              </w:rPr>
              <w:t>支持对设备状态的修改设置，设备状态包含：维修、报废。支持根据设备类型设定设备可使用年月日，当时间距离可使用年月日不足</w:t>
            </w:r>
            <w:r>
              <w:t>30天，将该设备显示在报废管理菜单中；报废管理菜单中提供导出清单，同时，在管理员对设备进行批量报废时，提示用户是否需要下载本次报废清单</w:t>
            </w:r>
            <w:r>
              <w:rPr>
                <w:rFonts w:hint="eastAsia"/>
              </w:rPr>
              <w:t>。</w:t>
            </w:r>
          </w:p>
          <w:p>
            <w:pPr>
              <w:spacing w:line="360" w:lineRule="auto"/>
              <w:ind w:firstLine="422" w:firstLineChars="200"/>
              <w:rPr>
                <w:b/>
              </w:rPr>
            </w:pPr>
            <w:r>
              <w:rPr>
                <w:b/>
              </w:rPr>
              <w:t>1.2.3上架下架</w:t>
            </w:r>
          </w:p>
          <w:p>
            <w:pPr>
              <w:spacing w:line="360" w:lineRule="auto"/>
              <w:ind w:firstLine="420" w:firstLineChars="200"/>
            </w:pPr>
            <w:r>
              <w:t>可针对单个设备，点击上架、下架按钮，选择相关的货架或者修改相关的货架信息，进行上架、下架操作。</w:t>
            </w:r>
          </w:p>
          <w:p>
            <w:pPr>
              <w:spacing w:line="360" w:lineRule="auto"/>
              <w:ind w:firstLine="422" w:firstLineChars="200"/>
              <w:rPr>
                <w:b/>
              </w:rPr>
            </w:pPr>
            <w:r>
              <w:rPr>
                <w:b/>
              </w:rPr>
              <w:t xml:space="preserve">1.2.4 </w:t>
            </w:r>
            <w:r>
              <w:rPr>
                <w:rFonts w:hint="eastAsia"/>
                <w:b/>
                <w:bCs/>
              </w:rPr>
              <w:t>二维码管理</w:t>
            </w:r>
          </w:p>
          <w:p>
            <w:pPr>
              <w:pStyle w:val="11"/>
              <w:ind w:left="420" w:firstLine="0"/>
            </w:pPr>
            <w:r>
              <w:rPr>
                <w:rFonts w:hint="eastAsia"/>
              </w:rPr>
              <w:t>设备导入成功后，提供设备二维码的批量导出功能。</w:t>
            </w:r>
          </w:p>
          <w:p>
            <w:pPr>
              <w:pStyle w:val="12"/>
              <w:rPr>
                <w:lang w:val="zh-CN" w:bidi="zh-CN"/>
              </w:rPr>
            </w:pPr>
          </w:p>
          <w:p>
            <w:pPr>
              <w:spacing w:line="360" w:lineRule="auto"/>
              <w:ind w:firstLine="422" w:firstLineChars="200"/>
              <w:rPr>
                <w:b/>
              </w:rPr>
            </w:pPr>
            <w:r>
              <w:rPr>
                <w:b/>
              </w:rPr>
              <w:t>1.3货架信息管理</w:t>
            </w:r>
          </w:p>
          <w:p>
            <w:pPr>
              <w:spacing w:line="360" w:lineRule="auto"/>
              <w:ind w:firstLine="422" w:firstLineChars="200"/>
              <w:rPr>
                <w:b/>
              </w:rPr>
            </w:pPr>
            <w:r>
              <w:rPr>
                <w:b/>
              </w:rPr>
              <w:t>1.3.1货架管理</w:t>
            </w:r>
          </w:p>
          <w:p>
            <w:pPr>
              <w:spacing w:line="360" w:lineRule="auto"/>
              <w:ind w:firstLine="420" w:firstLineChars="200"/>
            </w:pPr>
            <w:r>
              <w:t>提供对货架区域信息、货架信息的增加、删除、修改等管理功能，包含对货架区域编号、货架编号等的管理，同时针对货架的货架层、格子，提供编号等相关的管理功能。</w:t>
            </w:r>
          </w:p>
          <w:p>
            <w:pPr>
              <w:spacing w:line="360" w:lineRule="auto"/>
              <w:ind w:firstLine="420" w:firstLineChars="200"/>
              <w:rPr>
                <w:b/>
              </w:rPr>
            </w:pPr>
            <w:r>
              <w:rPr>
                <w:rFonts w:hint="eastAsia"/>
              </w:rPr>
              <w:t>注：编号分为：区域编号、货架编号、货架层编号、格子编号。</w:t>
            </w:r>
          </w:p>
          <w:p>
            <w:pPr>
              <w:spacing w:line="360" w:lineRule="auto"/>
              <w:ind w:firstLine="422" w:firstLineChars="200"/>
              <w:rPr>
                <w:b/>
              </w:rPr>
            </w:pPr>
            <w:r>
              <w:rPr>
                <w:b/>
              </w:rPr>
              <w:t>1.3.2上架下架</w:t>
            </w:r>
          </w:p>
          <w:p>
            <w:pPr>
              <w:spacing w:line="360" w:lineRule="auto"/>
              <w:ind w:firstLine="420" w:firstLineChars="200"/>
            </w:pPr>
            <w:r>
              <w:t>可针某个货架或者格子，通过上架功能，进行设备上架操作，相当于将设备存放到货架或者格子里；支持下架功能，进行设备下架操作。</w:t>
            </w:r>
          </w:p>
          <w:p>
            <w:pPr>
              <w:spacing w:line="360" w:lineRule="auto"/>
              <w:ind w:firstLine="422" w:firstLineChars="200"/>
              <w:rPr>
                <w:b/>
              </w:rPr>
            </w:pPr>
            <w:r>
              <w:rPr>
                <w:b/>
              </w:rPr>
              <w:t>1.3.3二维码管理</w:t>
            </w:r>
          </w:p>
          <w:p>
            <w:pPr>
              <w:spacing w:line="360" w:lineRule="auto"/>
              <w:ind w:firstLine="420" w:firstLineChars="200"/>
              <w:rPr>
                <w:b/>
              </w:rPr>
            </w:pPr>
            <w:r>
              <w:rPr>
                <w:rFonts w:hint="eastAsia"/>
              </w:rPr>
              <w:t>货架信息生成后，提供货架二维码的批量导出功能；</w:t>
            </w:r>
          </w:p>
          <w:p>
            <w:pPr>
              <w:spacing w:line="360" w:lineRule="auto"/>
              <w:ind w:firstLine="422" w:firstLineChars="200"/>
              <w:rPr>
                <w:b/>
              </w:rPr>
            </w:pPr>
            <w:r>
              <w:rPr>
                <w:b/>
              </w:rPr>
              <w:t>1.4设备借用管理</w:t>
            </w:r>
          </w:p>
          <w:p>
            <w:pPr>
              <w:spacing w:line="360" w:lineRule="auto"/>
              <w:ind w:firstLine="422" w:firstLineChars="200"/>
              <w:rPr>
                <w:b/>
              </w:rPr>
            </w:pPr>
            <w:r>
              <w:rPr>
                <w:b/>
              </w:rPr>
              <w:t>1.4.1设备借用</w:t>
            </w:r>
          </w:p>
          <w:p>
            <w:pPr>
              <w:spacing w:line="360" w:lineRule="auto"/>
              <w:ind w:firstLine="420" w:firstLineChars="200"/>
            </w:pPr>
            <w:r>
              <w:rPr>
                <w:rFonts w:hint="eastAsia"/>
              </w:rPr>
              <w:t>提供设备借用管理功能，查看所有申请的审批进度。</w:t>
            </w:r>
          </w:p>
          <w:p>
            <w:pPr>
              <w:spacing w:line="360" w:lineRule="auto"/>
              <w:ind w:firstLine="422" w:firstLineChars="200"/>
              <w:rPr>
                <w:b/>
              </w:rPr>
            </w:pPr>
            <w:r>
              <w:rPr>
                <w:b/>
              </w:rPr>
              <w:t>1.4.2设备归还</w:t>
            </w:r>
          </w:p>
          <w:p>
            <w:pPr>
              <w:spacing w:line="360" w:lineRule="auto"/>
              <w:ind w:firstLine="420" w:firstLineChars="200"/>
            </w:pPr>
            <w:r>
              <w:t>支持管理员添加设备归还记录，需要选择设备相关信息、归还人、归还时间（默认为当前时间）、设备完好情况备注。</w:t>
            </w:r>
          </w:p>
          <w:p>
            <w:pPr>
              <w:spacing w:line="360" w:lineRule="auto"/>
              <w:ind w:firstLine="422" w:firstLineChars="200"/>
              <w:rPr>
                <w:b/>
              </w:rPr>
            </w:pPr>
            <w:r>
              <w:rPr>
                <w:b/>
              </w:rPr>
              <w:t>1.4.3损坏登记</w:t>
            </w:r>
          </w:p>
          <w:p>
            <w:pPr>
              <w:spacing w:line="360" w:lineRule="auto"/>
              <w:ind w:firstLine="420" w:firstLineChars="200"/>
            </w:pPr>
            <w:r>
              <w:t>针对损坏比较严重的设备，归还时需要进行设备损坏登记，上传设备照片，进行损坏说明。</w:t>
            </w:r>
          </w:p>
          <w:p>
            <w:pPr>
              <w:spacing w:line="360" w:lineRule="auto"/>
              <w:ind w:firstLine="422" w:firstLineChars="200"/>
              <w:rPr>
                <w:b/>
              </w:rPr>
            </w:pPr>
            <w:r>
              <w:rPr>
                <w:rFonts w:hint="eastAsia"/>
                <w:b/>
              </w:rPr>
              <w:t>1.5维修登记</w:t>
            </w:r>
          </w:p>
          <w:p>
            <w:pPr>
              <w:spacing w:line="360" w:lineRule="auto"/>
              <w:ind w:firstLine="420" w:firstLineChars="200"/>
            </w:pPr>
            <w:r>
              <w:rPr>
                <w:rFonts w:hint="eastAsia"/>
              </w:rPr>
              <w:t>若设备损坏至需要维修的状态，支持对设备进行维修登记，记录维修状态、经手人、送修时间、地点、返还时间等关键信息。</w:t>
            </w:r>
          </w:p>
          <w:p>
            <w:pPr>
              <w:spacing w:line="360" w:lineRule="auto"/>
              <w:ind w:firstLine="422" w:firstLineChars="200"/>
              <w:rPr>
                <w:b/>
              </w:rPr>
            </w:pPr>
            <w:r>
              <w:rPr>
                <w:b/>
              </w:rPr>
              <w:t>1.6数据统计分析</w:t>
            </w:r>
          </w:p>
          <w:p>
            <w:pPr>
              <w:spacing w:line="360" w:lineRule="auto"/>
              <w:ind w:firstLine="422" w:firstLineChars="200"/>
              <w:rPr>
                <w:b/>
              </w:rPr>
            </w:pPr>
            <w:r>
              <w:rPr>
                <w:b/>
              </w:rPr>
              <w:t>1.6.1设备统计分析</w:t>
            </w:r>
          </w:p>
          <w:p>
            <w:pPr>
              <w:spacing w:line="360" w:lineRule="auto"/>
              <w:ind w:firstLine="420" w:firstLineChars="200"/>
            </w:pPr>
            <w:r>
              <w:rPr>
                <w:rFonts w:hint="eastAsia"/>
              </w:rPr>
              <w:t>对各类型设备数量、设备状态分布、设备保质期分布等进行分析。</w:t>
            </w:r>
          </w:p>
          <w:p>
            <w:pPr>
              <w:spacing w:line="360" w:lineRule="auto"/>
              <w:ind w:firstLine="420" w:firstLineChars="200"/>
            </w:pPr>
            <w:r>
              <w:rPr>
                <w:rFonts w:hint="eastAsia"/>
              </w:rPr>
              <w:t>统计需提供根据所属仓库及设备状态进行统计，例如统计该仓库所有设备数量，在维修设备数量，设备合计金额。</w:t>
            </w:r>
          </w:p>
          <w:p>
            <w:pPr>
              <w:spacing w:line="360" w:lineRule="auto"/>
              <w:ind w:firstLine="422" w:firstLineChars="200"/>
              <w:rPr>
                <w:b/>
              </w:rPr>
            </w:pPr>
            <w:r>
              <w:rPr>
                <w:b/>
              </w:rPr>
              <w:t>1.6.2使用统计分析</w:t>
            </w:r>
          </w:p>
          <w:p>
            <w:pPr>
              <w:spacing w:line="360" w:lineRule="auto"/>
              <w:ind w:firstLine="420" w:firstLineChars="200"/>
            </w:pPr>
            <w:r>
              <w:t>设备借出率、设备损坏率、设备使用时长及次数分布、设备借用部门分布、设备进行分析。</w:t>
            </w:r>
          </w:p>
          <w:p>
            <w:pPr>
              <w:spacing w:line="360" w:lineRule="auto"/>
              <w:ind w:firstLine="422" w:firstLineChars="200"/>
              <w:rPr>
                <w:b/>
              </w:rPr>
            </w:pPr>
            <w:r>
              <w:rPr>
                <w:b/>
              </w:rPr>
              <w:t>1.7系统管理</w:t>
            </w:r>
          </w:p>
          <w:p>
            <w:pPr>
              <w:spacing w:line="360" w:lineRule="auto"/>
              <w:ind w:firstLine="422" w:firstLineChars="200"/>
              <w:rPr>
                <w:b/>
              </w:rPr>
            </w:pPr>
            <w:r>
              <w:rPr>
                <w:b/>
              </w:rPr>
              <w:t>1.7.1用户管理</w:t>
            </w:r>
          </w:p>
          <w:p>
            <w:pPr>
              <w:spacing w:line="360" w:lineRule="auto"/>
              <w:ind w:firstLine="420" w:firstLineChars="200"/>
            </w:pPr>
            <w:r>
              <w:rPr>
                <w:rFonts w:hint="eastAsia"/>
              </w:rPr>
              <w:t>对接学校人员信息，对系统用户进行管理维护。</w:t>
            </w:r>
          </w:p>
          <w:p>
            <w:pPr>
              <w:spacing w:line="360" w:lineRule="auto"/>
              <w:ind w:firstLine="422" w:firstLineChars="200"/>
              <w:rPr>
                <w:b/>
              </w:rPr>
            </w:pPr>
            <w:r>
              <w:rPr>
                <w:b/>
              </w:rPr>
              <w:t>1.7.2角色管理</w:t>
            </w:r>
          </w:p>
          <w:p>
            <w:pPr>
              <w:spacing w:line="360" w:lineRule="auto"/>
              <w:ind w:firstLine="420" w:firstLineChars="200"/>
            </w:pPr>
            <w:r>
              <w:t>对系统各类角色进行管理，包含系统管理员、普通用户、审批用户、设备管理员、校领导。</w:t>
            </w:r>
          </w:p>
          <w:p>
            <w:pPr>
              <w:spacing w:line="360" w:lineRule="auto"/>
              <w:ind w:firstLine="422" w:firstLineChars="200"/>
              <w:rPr>
                <w:b/>
              </w:rPr>
            </w:pPr>
            <w:r>
              <w:rPr>
                <w:b/>
              </w:rPr>
              <w:t>1.7.3权限管理</w:t>
            </w:r>
          </w:p>
          <w:p>
            <w:pPr>
              <w:spacing w:line="360" w:lineRule="auto"/>
              <w:ind w:firstLine="420" w:firstLineChars="200"/>
            </w:pPr>
            <w:r>
              <w:rPr>
                <w:rFonts w:hint="eastAsia"/>
              </w:rPr>
              <w:t>针对不同角色，可进行菜单权限设置。</w:t>
            </w:r>
          </w:p>
          <w:p>
            <w:pPr>
              <w:spacing w:line="360" w:lineRule="auto"/>
              <w:ind w:firstLine="422" w:firstLineChars="200"/>
              <w:rPr>
                <w:b/>
              </w:rPr>
            </w:pPr>
            <w:r>
              <w:rPr>
                <w:b/>
              </w:rPr>
              <w:t>2.使用端（移动端）</w:t>
            </w:r>
          </w:p>
          <w:p>
            <w:pPr>
              <w:spacing w:line="360" w:lineRule="auto"/>
              <w:ind w:firstLine="422" w:firstLineChars="200"/>
              <w:rPr>
                <w:b/>
              </w:rPr>
            </w:pPr>
            <w:r>
              <w:rPr>
                <w:b/>
              </w:rPr>
              <w:t>2.1设备上架下架</w:t>
            </w:r>
          </w:p>
          <w:p>
            <w:pPr>
              <w:spacing w:line="360" w:lineRule="auto"/>
              <w:ind w:firstLine="420" w:firstLineChars="200"/>
            </w:pPr>
            <w:r>
              <w:rPr>
                <w:rFonts w:hint="eastAsia"/>
              </w:rPr>
              <w:t>系统支持</w:t>
            </w:r>
            <w:r>
              <w:t>扫描设备二维码，可查看设备详情</w:t>
            </w:r>
            <w:r>
              <w:rPr>
                <w:rFonts w:hint="eastAsia"/>
              </w:rPr>
              <w:t>；支持</w:t>
            </w:r>
            <w:r>
              <w:t>扫描货架二维码</w:t>
            </w:r>
            <w:r>
              <w:rPr>
                <w:rFonts w:hint="eastAsia"/>
              </w:rPr>
              <w:t>和</w:t>
            </w:r>
            <w:r>
              <w:t>设备二维码</w:t>
            </w:r>
            <w:r>
              <w:rPr>
                <w:rFonts w:hint="eastAsia"/>
              </w:rPr>
              <w:t>实现关联</w:t>
            </w:r>
            <w:r>
              <w:t>快速上架和下架操作。</w:t>
            </w:r>
          </w:p>
          <w:p>
            <w:pPr>
              <w:spacing w:line="360" w:lineRule="auto"/>
              <w:ind w:firstLine="422" w:firstLineChars="200"/>
              <w:rPr>
                <w:b/>
              </w:rPr>
            </w:pPr>
            <w:r>
              <w:rPr>
                <w:b/>
              </w:rPr>
              <w:t>2.2设备借用申请</w:t>
            </w:r>
          </w:p>
          <w:p>
            <w:pPr>
              <w:spacing w:line="360" w:lineRule="auto"/>
              <w:ind w:firstLine="420" w:firstLineChars="200"/>
            </w:pPr>
            <w:r>
              <w:t>设备借出只能由使用人发起申请，通过审批后到设备管理仓库领取设备。申请时需要选择设备相关信息、选择设备使用人、借用时间、借用时长等信息。支持批量借用，通过购物车模式，选中加入购物车，查看购物车，可在购物车中单选或多选一键借用，也可从购物车中单选或多选删除设备；设备借用申请时，提供附件上传功能（包括图片和文件），非必填，附件用于审核阶段供审核人查看。验证使用人手机号码。</w:t>
            </w:r>
          </w:p>
          <w:p>
            <w:pPr>
              <w:spacing w:line="360" w:lineRule="auto"/>
              <w:ind w:firstLine="422" w:firstLineChars="200"/>
              <w:rPr>
                <w:b/>
              </w:rPr>
            </w:pPr>
            <w:r>
              <w:rPr>
                <w:b/>
              </w:rPr>
              <w:t>2.3设备借用审批</w:t>
            </w:r>
          </w:p>
          <w:p>
            <w:pPr>
              <w:spacing w:line="360" w:lineRule="auto"/>
              <w:ind w:firstLine="420" w:firstLineChars="200"/>
            </w:pPr>
            <w:r>
              <w:t>审核流程</w:t>
            </w:r>
            <w:r>
              <w:rPr>
                <w:rFonts w:hint="eastAsia"/>
              </w:rPr>
              <w:t>按照</w:t>
            </w:r>
            <w:r>
              <w:t>学校要求进行</w:t>
            </w:r>
            <w:r>
              <w:rPr>
                <w:rFonts w:hint="eastAsia"/>
              </w:rPr>
              <w:t>设置；借用申请审核通过后，所借用的设备状态应变更为待领用，教师向设备管理员出示申请通过记录及借用清单（可根据申请信息生成借用二维码，教师出示二维码后，由设备管理员使用手机扫码查询申请结果及借用清单），设备管理员根据清单捡取设备，若存在无法提供某些设备的情况，设备管理员可在清单中对该设备点击无法借出作为标记；教师在手机端核对设备管理员提供的设备并进行勾选，勾选后点击确认领用管理员方可交接设备；教师确认领用后，设备状态改为已借出。</w:t>
            </w:r>
          </w:p>
          <w:p>
            <w:pPr>
              <w:spacing w:line="360" w:lineRule="auto"/>
              <w:ind w:firstLine="422" w:firstLineChars="200"/>
              <w:rPr>
                <w:b/>
              </w:rPr>
            </w:pPr>
            <w:r>
              <w:rPr>
                <w:b/>
              </w:rPr>
              <w:t>2.4设备借用登记</w:t>
            </w:r>
          </w:p>
          <w:p>
            <w:pPr>
              <w:spacing w:line="360" w:lineRule="auto"/>
              <w:ind w:firstLine="420" w:firstLineChars="200"/>
            </w:pPr>
            <w:r>
              <w:t>设备借用申请审核通过之后，借用人可通过该功能，对设备二维码进行扫描，完成设备借用登记。</w:t>
            </w:r>
          </w:p>
          <w:p>
            <w:pPr>
              <w:spacing w:line="360" w:lineRule="auto"/>
              <w:ind w:firstLine="422" w:firstLineChars="200"/>
              <w:rPr>
                <w:b/>
              </w:rPr>
            </w:pPr>
            <w:r>
              <w:rPr>
                <w:b/>
              </w:rPr>
              <w:t>2.5设备借用记录</w:t>
            </w:r>
          </w:p>
          <w:p>
            <w:pPr>
              <w:spacing w:line="360" w:lineRule="auto"/>
              <w:ind w:firstLine="420" w:firstLineChars="200"/>
            </w:pPr>
            <w:r>
              <w:t>用户可查看个人全部借用记录，可查看每次借用记录的借用时间、设备信息、归还时间等。</w:t>
            </w:r>
          </w:p>
          <w:p>
            <w:pPr>
              <w:spacing w:line="360" w:lineRule="auto"/>
              <w:ind w:firstLine="422" w:firstLineChars="200"/>
              <w:rPr>
                <w:b/>
              </w:rPr>
            </w:pPr>
            <w:r>
              <w:rPr>
                <w:b/>
              </w:rPr>
              <w:t>2.6设备快速归还</w:t>
            </w:r>
          </w:p>
          <w:p>
            <w:pPr>
              <w:spacing w:line="360" w:lineRule="auto"/>
              <w:ind w:firstLine="422" w:firstLineChars="200"/>
              <w:rPr>
                <w:b/>
              </w:rPr>
            </w:pPr>
            <w:r>
              <w:rPr>
                <w:b/>
              </w:rPr>
              <w:t>2.6.1归还申请</w:t>
            </w:r>
            <w:r>
              <w:rPr>
                <w:b/>
              </w:rPr>
              <w:tab/>
            </w:r>
          </w:p>
          <w:p>
            <w:pPr>
              <w:spacing w:line="360" w:lineRule="auto"/>
              <w:ind w:firstLine="420" w:firstLineChars="200"/>
            </w:pPr>
            <w:r>
              <w:t>支持借用人通过借用记录查看设备详情，并且可在线发起设备归还申请，设备管理人员可进行归还申请审批。</w:t>
            </w:r>
          </w:p>
          <w:p>
            <w:pPr>
              <w:spacing w:line="360" w:lineRule="auto"/>
              <w:ind w:firstLine="422" w:firstLineChars="200"/>
              <w:rPr>
                <w:b/>
              </w:rPr>
            </w:pPr>
            <w:r>
              <w:rPr>
                <w:b/>
              </w:rPr>
              <w:t>2.6.2快速归还</w:t>
            </w:r>
          </w:p>
          <w:p>
            <w:pPr>
              <w:spacing w:line="360" w:lineRule="auto"/>
              <w:ind w:firstLine="420" w:firstLineChars="200"/>
            </w:pPr>
            <w:r>
              <w:t>支持设备管理人员通过扫描设备二维码，进行设备快速归还。</w:t>
            </w:r>
          </w:p>
          <w:p>
            <w:pPr>
              <w:spacing w:line="360" w:lineRule="auto"/>
              <w:ind w:firstLine="422" w:firstLineChars="200"/>
              <w:rPr>
                <w:b/>
              </w:rPr>
            </w:pPr>
            <w:r>
              <w:rPr>
                <w:b/>
              </w:rPr>
              <w:t>2.7消息通知提醒</w:t>
            </w:r>
          </w:p>
          <w:p>
            <w:pPr>
              <w:spacing w:line="360" w:lineRule="auto"/>
              <w:ind w:firstLine="420" w:firstLineChars="200"/>
            </w:pPr>
            <w:r>
              <w:rPr>
                <w:rFonts w:hint="eastAsia"/>
              </w:rPr>
              <w:t>支持各类操作的短信通知；</w:t>
            </w:r>
          </w:p>
          <w:p>
            <w:pPr>
              <w:spacing w:line="360" w:lineRule="auto"/>
              <w:ind w:firstLine="420" w:firstLineChars="200"/>
            </w:pPr>
            <w:r>
              <w:rPr>
                <w:rFonts w:hint="eastAsia"/>
              </w:rPr>
              <w:t>支持各类操作的微信公众号推送通知；</w:t>
            </w:r>
          </w:p>
          <w:p>
            <w:pPr>
              <w:spacing w:line="360" w:lineRule="auto"/>
              <w:ind w:firstLine="420" w:firstLineChars="200"/>
            </w:pPr>
            <w:r>
              <w:rPr>
                <w:rFonts w:hint="eastAsia"/>
              </w:rPr>
              <w:t>支持手动推送消息提醒，提示用户归还设备；</w:t>
            </w:r>
          </w:p>
          <w:p>
            <w:pPr>
              <w:spacing w:line="360" w:lineRule="auto"/>
              <w:ind w:firstLine="420" w:firstLineChars="200"/>
            </w:pPr>
            <w:r>
              <w:rPr>
                <w:rFonts w:hint="eastAsia"/>
              </w:rPr>
              <w:t>对接学校智慧校园（即企业微信），借用即将逾期（例如还有2天到期，该时间可在系统管理中进行配置）时通过智慧校园进行提醒信息推送。</w:t>
            </w:r>
          </w:p>
          <w:p>
            <w:pPr>
              <w:spacing w:line="360" w:lineRule="auto"/>
              <w:ind w:firstLine="422" w:firstLineChars="200"/>
              <w:rPr>
                <w:b/>
              </w:rPr>
            </w:pPr>
            <w:r>
              <w:rPr>
                <w:b/>
              </w:rPr>
              <w:t>2.8数据统计分析</w:t>
            </w:r>
          </w:p>
          <w:p>
            <w:pPr>
              <w:spacing w:line="360" w:lineRule="auto"/>
              <w:ind w:firstLine="422" w:firstLineChars="200"/>
              <w:rPr>
                <w:b/>
              </w:rPr>
            </w:pPr>
            <w:r>
              <w:rPr>
                <w:b/>
              </w:rPr>
              <w:t>2.8.1设备统计分析</w:t>
            </w:r>
          </w:p>
          <w:p>
            <w:pPr>
              <w:spacing w:line="360" w:lineRule="auto"/>
              <w:ind w:firstLine="420" w:firstLineChars="200"/>
            </w:pPr>
            <w:r>
              <w:rPr>
                <w:rFonts w:hint="eastAsia"/>
              </w:rPr>
              <w:t>对各类型设备数量、设备状态分布、设备保质期分布等进行分析。</w:t>
            </w:r>
          </w:p>
          <w:p>
            <w:pPr>
              <w:spacing w:line="360" w:lineRule="auto"/>
              <w:ind w:firstLine="422" w:firstLineChars="200"/>
              <w:rPr>
                <w:b/>
              </w:rPr>
            </w:pPr>
            <w:r>
              <w:rPr>
                <w:b/>
              </w:rPr>
              <w:t>2.8.2使用统计分析</w:t>
            </w:r>
          </w:p>
          <w:p>
            <w:pPr>
              <w:spacing w:line="360" w:lineRule="auto"/>
              <w:ind w:firstLine="420" w:firstLineChars="200"/>
            </w:pPr>
            <w:r>
              <w:t>设备借出率、设备损坏率、设备使用时长及次数分布、设备借用部门分布、设备等进行分析。</w:t>
            </w:r>
          </w:p>
          <w:p>
            <w:pPr>
              <w:spacing w:line="360" w:lineRule="auto"/>
              <w:ind w:firstLine="422" w:firstLineChars="200"/>
              <w:rPr>
                <w:b/>
              </w:rPr>
            </w:pPr>
            <w:r>
              <w:rPr>
                <w:b/>
              </w:rPr>
              <w:t>2.9申请限制</w:t>
            </w:r>
          </w:p>
          <w:p>
            <w:pPr>
              <w:spacing w:line="360" w:lineRule="auto"/>
              <w:ind w:firstLine="420" w:firstLineChars="200"/>
            </w:pPr>
            <w:r>
              <w:rPr>
                <w:rFonts w:hint="eastAsia"/>
              </w:rPr>
              <w:t>通过设备的库存数量或者是借用的频率来限定用户申请领用的次数和领用的周期。</w:t>
            </w:r>
          </w:p>
          <w:p>
            <w:pPr>
              <w:spacing w:line="360" w:lineRule="auto"/>
              <w:ind w:firstLine="422" w:firstLineChars="200"/>
              <w:rPr>
                <w:b/>
              </w:rPr>
            </w:pPr>
            <w:r>
              <w:rPr>
                <w:b/>
              </w:rPr>
              <w:t>2.10申请延期</w:t>
            </w:r>
          </w:p>
          <w:p>
            <w:pPr>
              <w:spacing w:line="360" w:lineRule="auto"/>
              <w:ind w:firstLine="420" w:firstLineChars="200"/>
            </w:pPr>
            <w:r>
              <w:rPr>
                <w:rFonts w:hint="eastAsia"/>
              </w:rPr>
              <w:t>用户领用设备即将到归还日期，如果需要延期归还的，那么可以申请延期，申请之后需要走和申请领用一样的流程。设备借用已经逾期的，由系统自动进行短信推送；同时，还需要提供催还短信推送按钮，若借用人迟迟不归还设备，管理员可手动发送催还短信。</w:t>
            </w:r>
          </w:p>
          <w:p>
            <w:pPr>
              <w:spacing w:line="360" w:lineRule="auto"/>
              <w:ind w:firstLine="422" w:firstLineChars="200"/>
              <w:rPr>
                <w:b/>
              </w:rPr>
            </w:pPr>
            <w:r>
              <w:rPr>
                <w:b/>
              </w:rPr>
              <w:t>3</w:t>
            </w:r>
            <w:r>
              <w:rPr>
                <w:rFonts w:hint="eastAsia"/>
                <w:b/>
              </w:rPr>
              <w:t>．</w:t>
            </w:r>
            <w:r>
              <w:rPr>
                <w:b/>
              </w:rPr>
              <w:t>其他服务</w:t>
            </w:r>
          </w:p>
          <w:p>
            <w:pPr>
              <w:spacing w:line="360" w:lineRule="auto"/>
              <w:ind w:firstLine="422" w:firstLineChars="200"/>
              <w:rPr>
                <w:b/>
              </w:rPr>
            </w:pPr>
            <w:r>
              <w:rPr>
                <w:b/>
              </w:rPr>
              <w:t>3.1系统数据对接服务</w:t>
            </w:r>
          </w:p>
          <w:p>
            <w:pPr>
              <w:spacing w:line="360" w:lineRule="auto"/>
              <w:ind w:firstLine="420" w:firstLineChars="200"/>
            </w:pPr>
            <w:r>
              <w:rPr>
                <w:rFonts w:hint="eastAsia"/>
              </w:rPr>
              <w:t>方案提供的数据对接内容：</w:t>
            </w:r>
          </w:p>
          <w:p>
            <w:pPr>
              <w:spacing w:line="360" w:lineRule="auto"/>
              <w:ind w:firstLine="420" w:firstLineChars="200"/>
            </w:pPr>
            <w:r>
              <w:t>与学校统一身份认证平台，人员信息的对接；</w:t>
            </w:r>
          </w:p>
          <w:p>
            <w:pPr>
              <w:spacing w:line="360" w:lineRule="auto"/>
              <w:ind w:firstLine="420" w:firstLineChars="200"/>
            </w:pPr>
            <w:r>
              <w:t>与资产管理系统，设备信息的对接</w:t>
            </w:r>
            <w:r>
              <w:rPr>
                <w:rFonts w:hint="eastAsia"/>
              </w:rPr>
              <w:t>；</w:t>
            </w:r>
          </w:p>
          <w:p>
            <w:pPr>
              <w:spacing w:line="360" w:lineRule="auto"/>
              <w:ind w:firstLine="420" w:firstLineChars="200"/>
            </w:pPr>
            <w:r>
              <w:rPr>
                <w:rFonts w:hint="eastAsia"/>
              </w:rPr>
              <w:t>与智慧校园（企业微信）对接，进行消息推送；</w:t>
            </w:r>
          </w:p>
          <w:p>
            <w:pPr>
              <w:spacing w:line="360" w:lineRule="auto"/>
              <w:ind w:firstLine="420" w:firstLineChars="200"/>
            </w:pPr>
            <w:r>
              <w:rPr>
                <w:rFonts w:hint="eastAsia"/>
              </w:rPr>
              <w:t>对接数据中心，推送设备管理系统数据。</w:t>
            </w:r>
          </w:p>
          <w:p>
            <w:pPr>
              <w:spacing w:line="360" w:lineRule="auto"/>
              <w:ind w:firstLine="422" w:firstLineChars="200"/>
              <w:rPr>
                <w:b/>
              </w:rPr>
            </w:pPr>
            <w:r>
              <w:rPr>
                <w:b/>
              </w:rPr>
              <w:t>3.2统一认证对接服务</w:t>
            </w:r>
          </w:p>
          <w:p>
            <w:pPr>
              <w:spacing w:line="360" w:lineRule="auto"/>
              <w:ind w:firstLine="420" w:firstLineChars="200"/>
            </w:pPr>
            <w:r>
              <w:rPr>
                <w:rFonts w:hint="eastAsia"/>
              </w:rPr>
              <w:t>方案提供的统一认证对接内容：</w:t>
            </w:r>
          </w:p>
          <w:p>
            <w:pPr>
              <w:spacing w:line="360" w:lineRule="auto"/>
              <w:ind w:firstLine="420" w:firstLineChars="200"/>
            </w:pPr>
            <w:r>
              <w:t>（1）与统一身份认证平台，鉴权机制的对接</w:t>
            </w:r>
          </w:p>
          <w:p>
            <w:pPr>
              <w:spacing w:line="360" w:lineRule="auto"/>
              <w:ind w:firstLine="420" w:firstLineChars="200"/>
            </w:pPr>
            <w:r>
              <w:t>（2）企业微信接入对接，入口的集成对接</w:t>
            </w:r>
          </w:p>
          <w:p>
            <w:pPr>
              <w:spacing w:line="360" w:lineRule="auto"/>
              <w:ind w:firstLine="422" w:firstLineChars="200"/>
              <w:rPr>
                <w:rFonts w:ascii="Calibri" w:hAnsi="Calibri"/>
                <w:b/>
                <w:bCs/>
              </w:rPr>
            </w:pPr>
            <w:r>
              <w:rPr>
                <w:rFonts w:hint="eastAsia"/>
                <w:b/>
                <w:bCs/>
              </w:rPr>
              <w:t>四、总体技术要求</w:t>
            </w:r>
          </w:p>
          <w:p>
            <w:pPr>
              <w:spacing w:line="360" w:lineRule="auto"/>
              <w:ind w:firstLine="422" w:firstLineChars="200"/>
              <w:textAlignment w:val="center"/>
              <w:rPr>
                <w:b/>
                <w:bCs/>
              </w:rPr>
            </w:pPr>
            <w:r>
              <w:rPr>
                <w:rFonts w:hint="eastAsia"/>
                <w:b/>
                <w:bCs/>
              </w:rPr>
              <w:t>1.页面设计要求</w:t>
            </w:r>
          </w:p>
          <w:p>
            <w:pPr>
              <w:spacing w:line="360" w:lineRule="auto"/>
              <w:ind w:firstLine="420" w:firstLineChars="200"/>
              <w:textAlignment w:val="center"/>
            </w:pPr>
            <w:r>
              <w:rPr>
                <w:rFonts w:hint="eastAsia"/>
              </w:rPr>
              <w:t>（1）系统所有页面设计应简洁大方，与学校的整体色彩搭配方案保持一致，整套系统应用包含PC端</w:t>
            </w:r>
            <w:r>
              <w:t>和微信端</w:t>
            </w:r>
            <w:r>
              <w:rPr>
                <w:rFonts w:hint="eastAsia"/>
              </w:rPr>
              <w:t>采用统一的UI设计标准，界面设计人性化，减少采购人适应难度和操作难度，可以尽快掌握系统功能，促进系统的推广应用。</w:t>
            </w:r>
          </w:p>
          <w:p>
            <w:pPr>
              <w:spacing w:line="360" w:lineRule="auto"/>
              <w:ind w:firstLine="420" w:firstLineChars="200"/>
              <w:textAlignment w:val="center"/>
            </w:pPr>
            <w:r>
              <w:rPr>
                <w:rFonts w:hint="eastAsia"/>
              </w:rPr>
              <w:t>（2）遵守学校的</w:t>
            </w:r>
            <w:r>
              <w:t>UI</w:t>
            </w:r>
            <w:r>
              <w:rPr>
                <w:rFonts w:hint="eastAsia"/>
              </w:rPr>
              <w:t>设计规范和要求。</w:t>
            </w:r>
          </w:p>
          <w:p>
            <w:pPr>
              <w:spacing w:line="360" w:lineRule="auto"/>
              <w:ind w:firstLine="422" w:firstLineChars="200"/>
              <w:textAlignment w:val="center"/>
              <w:rPr>
                <w:b/>
                <w:bCs/>
              </w:rPr>
            </w:pPr>
            <w:r>
              <w:rPr>
                <w:rFonts w:hint="eastAsia"/>
                <w:b/>
                <w:bCs/>
              </w:rPr>
              <w:t>2.易用性</w:t>
            </w:r>
          </w:p>
          <w:p>
            <w:pPr>
              <w:spacing w:line="360" w:lineRule="auto"/>
              <w:ind w:firstLine="420" w:firstLineChars="200"/>
              <w:textAlignment w:val="center"/>
            </w:pPr>
            <w:r>
              <w:rPr>
                <w:rFonts w:hint="eastAsia"/>
              </w:rPr>
              <w:t>系统的操作应用和交互体验要遵循简单易用的原则：文字视图清晰、功能完善、交互提示友好、容错性机制完善。</w:t>
            </w:r>
          </w:p>
          <w:p>
            <w:pPr>
              <w:spacing w:line="360" w:lineRule="auto"/>
              <w:ind w:firstLine="422" w:firstLineChars="200"/>
              <w:textAlignment w:val="center"/>
              <w:rPr>
                <w:b/>
                <w:bCs/>
              </w:rPr>
            </w:pPr>
            <w:r>
              <w:rPr>
                <w:rFonts w:hint="eastAsia"/>
                <w:b/>
                <w:bCs/>
              </w:rPr>
              <w:t>3.灵活性</w:t>
            </w:r>
          </w:p>
          <w:p>
            <w:pPr>
              <w:spacing w:line="360" w:lineRule="auto"/>
              <w:ind w:firstLine="420" w:firstLineChars="200"/>
              <w:textAlignment w:val="center"/>
            </w:pPr>
            <w:r>
              <w:rPr>
                <w:rFonts w:hint="eastAsia"/>
              </w:rPr>
              <w:t>通过灵活可配置化的引擎驱动策略实时根据业务调整策略既能保障数据的及时性又能保障服务器的负荷。</w:t>
            </w:r>
          </w:p>
          <w:p>
            <w:pPr>
              <w:spacing w:line="360" w:lineRule="auto"/>
              <w:ind w:firstLine="422" w:firstLineChars="200"/>
              <w:textAlignment w:val="center"/>
              <w:rPr>
                <w:b/>
                <w:bCs/>
              </w:rPr>
            </w:pPr>
            <w:r>
              <w:rPr>
                <w:rFonts w:hint="eastAsia"/>
                <w:b/>
                <w:bCs/>
              </w:rPr>
              <w:t>4.扩展性</w:t>
            </w:r>
          </w:p>
          <w:p>
            <w:pPr>
              <w:spacing w:line="360" w:lineRule="auto"/>
              <w:ind w:firstLine="420" w:firstLineChars="200"/>
              <w:textAlignment w:val="center"/>
            </w:pPr>
            <w:r>
              <w:rPr>
                <w:rFonts w:hint="eastAsia"/>
              </w:rPr>
              <w:t>系统建立起严密、体系化的系统管理和应用机制，具有良好的分层设计，支持后期拓展应用。</w:t>
            </w:r>
          </w:p>
          <w:p>
            <w:pPr>
              <w:spacing w:line="360" w:lineRule="auto"/>
              <w:ind w:firstLine="422" w:firstLineChars="200"/>
              <w:textAlignment w:val="center"/>
              <w:rPr>
                <w:b/>
                <w:bCs/>
              </w:rPr>
            </w:pPr>
            <w:r>
              <w:rPr>
                <w:rFonts w:hint="eastAsia"/>
                <w:b/>
                <w:bCs/>
              </w:rPr>
              <w:t>5.安全可靠性</w:t>
            </w:r>
          </w:p>
          <w:p>
            <w:pPr>
              <w:spacing w:line="360" w:lineRule="auto"/>
              <w:ind w:firstLine="420" w:firstLineChars="200"/>
              <w:textAlignment w:val="center"/>
            </w:pPr>
            <w:r>
              <w:rPr>
                <w:rFonts w:hint="eastAsia"/>
              </w:rPr>
              <w:t>系统编码应逻辑谨密，保证采购人的账号密码等数据信息安全，在遇到外界入侵系统、盗取采购人数据的同时，能够提供有效的应对措施，系统的安全可靠性强。</w:t>
            </w:r>
          </w:p>
          <w:p>
            <w:pPr>
              <w:spacing w:line="360" w:lineRule="auto"/>
              <w:ind w:firstLine="422" w:firstLineChars="200"/>
              <w:textAlignment w:val="center"/>
              <w:rPr>
                <w:b/>
                <w:bCs/>
              </w:rPr>
            </w:pPr>
            <w:r>
              <w:rPr>
                <w:rFonts w:hint="eastAsia"/>
                <w:b/>
                <w:bCs/>
              </w:rPr>
              <w:t>6.性能要求</w:t>
            </w:r>
          </w:p>
          <w:p>
            <w:pPr>
              <w:spacing w:line="360" w:lineRule="auto"/>
              <w:ind w:firstLine="420" w:firstLineChars="200"/>
              <w:textAlignment w:val="center"/>
            </w:pPr>
            <w:r>
              <w:rPr>
                <w:rFonts w:hint="eastAsia"/>
              </w:rPr>
              <w:t>系统设计须考虑能承载的最大并发用户数，至少可以承载600用户数的并发数。</w:t>
            </w:r>
          </w:p>
          <w:p>
            <w:pPr>
              <w:spacing w:line="360" w:lineRule="auto"/>
              <w:ind w:firstLine="422" w:firstLineChars="200"/>
              <w:textAlignment w:val="center"/>
              <w:rPr>
                <w:b/>
                <w:bCs/>
              </w:rPr>
            </w:pPr>
            <w:r>
              <w:rPr>
                <w:rFonts w:hint="eastAsia"/>
                <w:b/>
                <w:bCs/>
              </w:rPr>
              <w:t>7.兼容性</w:t>
            </w:r>
          </w:p>
          <w:p>
            <w:pPr>
              <w:spacing w:line="360" w:lineRule="auto"/>
              <w:ind w:firstLine="420" w:firstLineChars="200"/>
              <w:textAlignment w:val="center"/>
            </w:pPr>
            <w:r>
              <w:rPr>
                <w:rFonts w:hint="eastAsia"/>
              </w:rPr>
              <w:t>系统应支持当前市面上主流的浏览器、操作系统及分辨率，具有较好的适应性。</w:t>
            </w:r>
          </w:p>
          <w:p>
            <w:pPr>
              <w:spacing w:line="360" w:lineRule="auto"/>
              <w:ind w:firstLine="422" w:firstLineChars="200"/>
              <w:textAlignment w:val="center"/>
              <w:rPr>
                <w:b/>
                <w:bCs/>
              </w:rPr>
            </w:pPr>
            <w:r>
              <w:rPr>
                <w:rFonts w:hint="eastAsia"/>
                <w:b/>
                <w:bCs/>
              </w:rPr>
              <w:t>8.可移植性</w:t>
            </w:r>
          </w:p>
          <w:p>
            <w:pPr>
              <w:pStyle w:val="12"/>
              <w:rPr>
                <w:lang w:val="zh-CN" w:bidi="zh-CN"/>
              </w:rPr>
            </w:pPr>
            <w:r>
              <w:rPr>
                <w:rFonts w:hint="eastAsia"/>
              </w:rPr>
              <w:t>采用java语言开发，具有跨平台性及可移植性。</w:t>
            </w:r>
          </w:p>
        </w:tc>
      </w:tr>
      <w:tr>
        <w:tblPrEx>
          <w:tblCellMar>
            <w:top w:w="0" w:type="dxa"/>
            <w:left w:w="108" w:type="dxa"/>
            <w:bottom w:w="0" w:type="dxa"/>
            <w:right w:w="108" w:type="dxa"/>
          </w:tblCellMar>
        </w:tblPrEx>
        <w:trPr>
          <w:trHeight w:val="63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pStyle w:val="10"/>
              <w:spacing w:line="360" w:lineRule="auto"/>
              <w:ind w:left="982" w:hanging="562"/>
              <w:rPr>
                <w:rFonts w:ascii="宋体" w:hAnsi="宋体" w:eastAsia="宋体"/>
                <w:color w:val="auto"/>
                <w:sz w:val="21"/>
                <w:szCs w:val="21"/>
              </w:rPr>
            </w:pPr>
            <w:r>
              <w:rPr>
                <w:rFonts w:hint="eastAsia" w:ascii="宋体" w:hAnsi="宋体"/>
                <w:b/>
                <w:bCs/>
                <w:color w:val="auto"/>
              </w:rPr>
              <w:t>商务要求：</w:t>
            </w:r>
          </w:p>
        </w:tc>
      </w:tr>
      <w:tr>
        <w:tblPrEx>
          <w:tblCellMar>
            <w:top w:w="0" w:type="dxa"/>
            <w:left w:w="108" w:type="dxa"/>
            <w:bottom w:w="0" w:type="dxa"/>
            <w:right w:w="108" w:type="dxa"/>
          </w:tblCellMar>
        </w:tblPrEx>
        <w:tc>
          <w:tcPr>
            <w:tcW w:w="8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rPr>
                <w:rFonts w:hint="eastAsia"/>
              </w:rPr>
              <w:t>★质保期</w:t>
            </w:r>
          </w:p>
        </w:tc>
        <w:tc>
          <w:tcPr>
            <w:tcW w:w="4148" w:type="pct"/>
            <w:gridSpan w:val="4"/>
            <w:tcBorders>
              <w:top w:val="single" w:color="auto" w:sz="4" w:space="0"/>
              <w:left w:val="nil"/>
              <w:bottom w:val="single" w:color="auto" w:sz="4" w:space="0"/>
              <w:right w:val="single" w:color="auto" w:sz="4" w:space="0"/>
            </w:tcBorders>
          </w:tcPr>
          <w:p>
            <w:pPr>
              <w:spacing w:line="360" w:lineRule="auto"/>
            </w:pPr>
            <w:r>
              <w:rPr>
                <w:rFonts w:hint="eastAsia"/>
              </w:rPr>
              <w:t>竞标人必须提供五年免费技术支持服务，自项目验收之日起开始计算。质保期内免费维护包括系统维护、按招标范围内的功能修订、故障检测，终身有偿的技术服务支持。</w:t>
            </w:r>
          </w:p>
        </w:tc>
      </w:tr>
      <w:tr>
        <w:tblPrEx>
          <w:tblCellMar>
            <w:top w:w="0" w:type="dxa"/>
            <w:left w:w="108" w:type="dxa"/>
            <w:bottom w:w="0" w:type="dxa"/>
            <w:right w:w="108" w:type="dxa"/>
          </w:tblCellMar>
        </w:tblPrEx>
        <w:tc>
          <w:tcPr>
            <w:tcW w:w="8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rPr>
                <w:rFonts w:hint="eastAsia"/>
              </w:rPr>
              <w:t>★售后技术服务要求</w:t>
            </w:r>
          </w:p>
        </w:tc>
        <w:tc>
          <w:tcPr>
            <w:tcW w:w="4148" w:type="pct"/>
            <w:gridSpan w:val="4"/>
            <w:tcBorders>
              <w:top w:val="single" w:color="auto" w:sz="4" w:space="0"/>
              <w:left w:val="nil"/>
              <w:bottom w:val="single" w:color="auto" w:sz="4" w:space="0"/>
              <w:right w:val="single" w:color="auto" w:sz="4" w:space="0"/>
            </w:tcBorders>
          </w:tcPr>
          <w:p>
            <w:pPr>
              <w:spacing w:line="360" w:lineRule="auto"/>
              <w:ind w:firstLine="420" w:firstLineChars="200"/>
            </w:pPr>
            <w:r>
              <w:rPr>
                <w:rFonts w:hint="eastAsia"/>
              </w:rPr>
              <w:t>1．免费提供定制开发子系统的初装、原始数据的导入、应用人员的培训等各种工作。</w:t>
            </w:r>
          </w:p>
          <w:p>
            <w:pPr>
              <w:spacing w:line="360" w:lineRule="auto"/>
              <w:ind w:firstLine="420" w:firstLineChars="200"/>
            </w:pPr>
            <w:r>
              <w:rPr>
                <w:rFonts w:hint="eastAsia"/>
              </w:rPr>
              <w:t>2．自项目投入正式运行且在免费服务期内，系统出现故障时，中标人须提供7×24小时服务响应，维护工程师应在接到报障后迅速做出响应，初步分析故障问题，考虑时间关系，可优先远程或电话指导处理，在远程无法解决的情况下，4小时内到达现场处理应用系统故障，及时做出故障原因报告，并提出有效措施加以解决。</w:t>
            </w:r>
          </w:p>
          <w:p>
            <w:pPr>
              <w:spacing w:line="360" w:lineRule="auto"/>
              <w:ind w:firstLine="420" w:firstLineChars="200"/>
            </w:pPr>
            <w:r>
              <w:rPr>
                <w:rFonts w:hint="eastAsia"/>
              </w:rPr>
              <w:t>3．在项目验收后的免费服务期内，如因采购方需要增加系统功能而产生的费用，双方另议并以签订的补充合同为准。</w:t>
            </w:r>
          </w:p>
          <w:p>
            <w:pPr>
              <w:adjustRightInd w:val="0"/>
              <w:snapToGrid w:val="0"/>
              <w:spacing w:line="360" w:lineRule="auto"/>
              <w:ind w:firstLine="420" w:firstLineChars="200"/>
              <w:rPr>
                <w:b/>
                <w:bCs/>
                <w:u w:val="single"/>
              </w:rPr>
            </w:pPr>
            <w:r>
              <w:rPr>
                <w:rFonts w:hint="eastAsia"/>
              </w:rPr>
              <w:t>4．项目免费服务期满后，竞标人必须承诺在法定工作时间内，提供免费的技术指导和咨询。</w:t>
            </w:r>
          </w:p>
        </w:tc>
      </w:tr>
      <w:tr>
        <w:tblPrEx>
          <w:tblCellMar>
            <w:top w:w="0" w:type="dxa"/>
            <w:left w:w="108" w:type="dxa"/>
            <w:bottom w:w="0" w:type="dxa"/>
            <w:right w:w="108" w:type="dxa"/>
          </w:tblCellMar>
        </w:tblPrEx>
        <w:trPr>
          <w:trHeight w:val="1700"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rPr>
                <w:rFonts w:hint="eastAsia"/>
              </w:rPr>
              <w:t>★付款方式</w:t>
            </w:r>
          </w:p>
        </w:tc>
        <w:tc>
          <w:tcPr>
            <w:tcW w:w="4148" w:type="pct"/>
            <w:gridSpan w:val="4"/>
            <w:tcBorders>
              <w:top w:val="single" w:color="auto" w:sz="4" w:space="0"/>
              <w:left w:val="nil"/>
              <w:bottom w:val="single" w:color="auto" w:sz="4" w:space="0"/>
              <w:right w:val="single" w:color="auto" w:sz="4" w:space="0"/>
            </w:tcBorders>
            <w:vAlign w:val="center"/>
          </w:tcPr>
          <w:p>
            <w:pPr>
              <w:spacing w:line="360" w:lineRule="auto"/>
              <w:ind w:firstLine="420" w:firstLineChars="200"/>
            </w:pPr>
            <w:r>
              <w:rPr>
                <w:rFonts w:hint="eastAsia"/>
              </w:rPr>
              <w:t>项目经学校验收合格确认7个工作日内，由</w:t>
            </w:r>
            <w:r>
              <w:t>甲方</w:t>
            </w:r>
            <w:r>
              <w:rPr>
                <w:rFonts w:hint="eastAsia"/>
              </w:rPr>
              <w:t>收到乙方开具的合同价10</w:t>
            </w:r>
            <w:r>
              <w:t>0%</w:t>
            </w:r>
            <w:r>
              <w:rPr>
                <w:rFonts w:hint="eastAsia"/>
              </w:rPr>
              <w:t xml:space="preserve">发票后甲方支付合同价 </w:t>
            </w:r>
            <w:r>
              <w:t>95</w:t>
            </w:r>
            <w:r>
              <w:rPr>
                <w:rFonts w:hint="eastAsia"/>
              </w:rPr>
              <w:t>% 尾款；剩余5%货款自验收之日起五年质保期满后，如产品无重大质量问题时由乙方提出申请，甲方在7个工作日内支付 5% 余款（质保金）。甲方可根据项目实施的实际情况对项目付款比例进行调整。</w:t>
            </w:r>
          </w:p>
        </w:tc>
      </w:tr>
      <w:tr>
        <w:tblPrEx>
          <w:tblCellMar>
            <w:top w:w="0" w:type="dxa"/>
            <w:left w:w="108" w:type="dxa"/>
            <w:bottom w:w="0" w:type="dxa"/>
            <w:right w:w="108" w:type="dxa"/>
          </w:tblCellMar>
        </w:tblPrEx>
        <w:trPr>
          <w:trHeight w:val="992"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rPr>
                <w:rFonts w:hint="eastAsia"/>
              </w:rPr>
              <w:t>★交货时间及地点</w:t>
            </w:r>
          </w:p>
        </w:tc>
        <w:tc>
          <w:tcPr>
            <w:tcW w:w="4148" w:type="pct"/>
            <w:gridSpan w:val="4"/>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Calibri" w:hAnsi="Calibri"/>
              </w:rPr>
            </w:pPr>
            <w:r>
              <w:rPr>
                <w:rFonts w:hint="eastAsia"/>
              </w:rPr>
              <w:t>1．交货时间：合同签订生效后</w:t>
            </w:r>
            <w:r>
              <w:t>20</w:t>
            </w:r>
            <w:r>
              <w:rPr>
                <w:rFonts w:hint="eastAsia"/>
              </w:rPr>
              <w:t>天内完成项目的总体设计、开发、实施及验收工作。</w:t>
            </w:r>
          </w:p>
          <w:p>
            <w:pPr>
              <w:spacing w:line="360" w:lineRule="auto"/>
              <w:ind w:firstLine="420" w:firstLineChars="200"/>
              <w:rPr>
                <w:rFonts w:ascii="Calibri" w:hAnsi="Calibri"/>
              </w:rPr>
            </w:pPr>
            <w:r>
              <w:rPr>
                <w:rFonts w:hint="eastAsia"/>
              </w:rPr>
              <w:t>2．交货地点：广西艺术学院</w:t>
            </w:r>
          </w:p>
        </w:tc>
      </w:tr>
      <w:tr>
        <w:tblPrEx>
          <w:tblCellMar>
            <w:top w:w="0" w:type="dxa"/>
            <w:left w:w="108" w:type="dxa"/>
            <w:bottom w:w="0" w:type="dxa"/>
            <w:right w:w="108" w:type="dxa"/>
          </w:tblCellMar>
        </w:tblPrEx>
        <w:tc>
          <w:tcPr>
            <w:tcW w:w="8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pPr>
            <w:r>
              <w:rPr>
                <w:rFonts w:hint="eastAsia"/>
              </w:rPr>
              <w:t>投标要求</w:t>
            </w:r>
          </w:p>
        </w:tc>
        <w:tc>
          <w:tcPr>
            <w:tcW w:w="4148" w:type="pct"/>
            <w:gridSpan w:val="4"/>
            <w:tcBorders>
              <w:top w:val="single" w:color="auto" w:sz="4" w:space="0"/>
              <w:left w:val="nil"/>
              <w:bottom w:val="single" w:color="auto" w:sz="4" w:space="0"/>
              <w:right w:val="single" w:color="auto" w:sz="4" w:space="0"/>
            </w:tcBorders>
          </w:tcPr>
          <w:p>
            <w:pPr>
              <w:spacing w:line="360" w:lineRule="auto"/>
              <w:ind w:firstLine="420" w:firstLineChars="200"/>
            </w:pPr>
            <w:r>
              <w:rPr>
                <w:rFonts w:hint="eastAsia"/>
              </w:rPr>
              <w:t>1．竞标人必须对本项目的需求进行整体响应，只对其中一部分内容进行的响应都被视为无效响应。</w:t>
            </w:r>
          </w:p>
          <w:p>
            <w:pPr>
              <w:spacing w:line="360" w:lineRule="auto"/>
              <w:ind w:firstLine="420" w:firstLineChars="200"/>
            </w:pPr>
            <w:r>
              <w:rPr>
                <w:rFonts w:hint="eastAsia"/>
              </w:rPr>
              <w:t>2．需求中标注有“★”的条款指标为重要条款指标，必须完全响应或者正偏离，否则作废标处理。</w:t>
            </w:r>
          </w:p>
          <w:p>
            <w:pPr>
              <w:spacing w:line="360" w:lineRule="auto"/>
              <w:ind w:firstLine="420" w:firstLineChars="200"/>
            </w:pPr>
            <w:r>
              <w:rPr>
                <w:rFonts w:hint="eastAsia"/>
              </w:rPr>
              <w:t>★3．响应文件中必须提供售后服务承诺书。承诺书包括售后服务期限、服务人员保障、本地化服务、响应时间、紧急预案、适应性维护承诺等内容。</w:t>
            </w:r>
          </w:p>
        </w:tc>
      </w:tr>
      <w:tr>
        <w:tblPrEx>
          <w:tblCellMar>
            <w:top w:w="0" w:type="dxa"/>
            <w:left w:w="108" w:type="dxa"/>
            <w:bottom w:w="0" w:type="dxa"/>
            <w:right w:w="108" w:type="dxa"/>
          </w:tblCellMar>
        </w:tblPrEx>
        <w:tc>
          <w:tcPr>
            <w:tcW w:w="85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其它要求</w:t>
            </w:r>
          </w:p>
        </w:tc>
        <w:tc>
          <w:tcPr>
            <w:tcW w:w="4148" w:type="pct"/>
            <w:gridSpan w:val="4"/>
            <w:tcBorders>
              <w:top w:val="single" w:color="auto" w:sz="4" w:space="0"/>
              <w:left w:val="nil"/>
              <w:bottom w:val="single" w:color="auto" w:sz="4" w:space="0"/>
              <w:right w:val="single" w:color="auto" w:sz="4" w:space="0"/>
            </w:tcBorders>
          </w:tcPr>
          <w:p>
            <w:pPr>
              <w:spacing w:line="360" w:lineRule="auto"/>
              <w:ind w:firstLine="420" w:firstLineChars="200"/>
            </w:pPr>
            <w:r>
              <w:rPr>
                <w:rFonts w:hint="eastAsia"/>
              </w:rPr>
              <w:t>一．安装、测试和验收要求</w:t>
            </w:r>
          </w:p>
          <w:p>
            <w:pPr>
              <w:spacing w:line="360" w:lineRule="auto"/>
              <w:ind w:firstLine="420" w:firstLineChars="200"/>
            </w:pPr>
            <w:r>
              <w:rPr>
                <w:rFonts w:hint="eastAsia"/>
              </w:rPr>
              <w:t>1．安装调试、测试环境</w:t>
            </w:r>
          </w:p>
          <w:p>
            <w:pPr>
              <w:spacing w:line="360" w:lineRule="auto"/>
              <w:ind w:firstLine="420" w:firstLineChars="200"/>
            </w:pPr>
            <w:r>
              <w:rPr>
                <w:rFonts w:hint="eastAsia"/>
              </w:rPr>
              <w:t>竞标人必须向采购人提供本项目开发软件的安装和维护服务全部内容，进行安装调试，搭建测试环境，并在需要的时候配合采购人完成整个系统的网络联调工作。若本项目开发软件的配置或要求中出现不合理或不完整的问题时，竞标人有责任和义务在响应文件中提出补充修改方案并征得采购人同意后付诸实施。</w:t>
            </w:r>
          </w:p>
          <w:p>
            <w:pPr>
              <w:spacing w:line="360" w:lineRule="auto"/>
              <w:ind w:firstLine="420" w:firstLineChars="200"/>
            </w:pPr>
            <w:r>
              <w:rPr>
                <w:rFonts w:hint="eastAsia"/>
              </w:rPr>
              <w:t>2．安装要求</w:t>
            </w:r>
          </w:p>
          <w:p>
            <w:pPr>
              <w:spacing w:line="360" w:lineRule="auto"/>
              <w:ind w:firstLine="420" w:firstLineChars="200"/>
            </w:pPr>
            <w:r>
              <w:rPr>
                <w:rFonts w:hint="eastAsia"/>
              </w:rPr>
              <w:t>应用软件系统安装的主要目标不仅是使应用软件能够在相应平台上正常运行，而且必须具有对业务软件系统运行的监控测试手段，以证明系统优化运行。竞标人有责任且必须承诺所承建的应用软件系统达到用户要求的各项性能指标。</w:t>
            </w:r>
          </w:p>
          <w:p>
            <w:pPr>
              <w:spacing w:line="360" w:lineRule="auto"/>
              <w:ind w:firstLine="420" w:firstLineChars="200"/>
            </w:pPr>
            <w:r>
              <w:rPr>
                <w:rFonts w:hint="eastAsia"/>
              </w:rPr>
              <w:t>3．系统测试</w:t>
            </w:r>
          </w:p>
          <w:p>
            <w:pPr>
              <w:spacing w:line="360" w:lineRule="auto"/>
              <w:ind w:firstLine="420" w:firstLineChars="200"/>
            </w:pPr>
            <w:r>
              <w:rPr>
                <w:rFonts w:hint="eastAsia"/>
              </w:rPr>
              <w:t xml:space="preserve">系统安装完成后，按照用户实际要求的基本功能以及标书中要求的所有指标进行逐一测试。 </w:t>
            </w:r>
          </w:p>
          <w:p>
            <w:pPr>
              <w:spacing w:line="360" w:lineRule="auto"/>
              <w:ind w:firstLine="420" w:firstLineChars="200"/>
            </w:pPr>
            <w:r>
              <w:rPr>
                <w:rFonts w:hint="eastAsia"/>
              </w:rPr>
              <w:t>（1）单项测试：单项产品安装完成后，竞标人进行产品自身功能及性能的测试。</w:t>
            </w:r>
          </w:p>
          <w:p>
            <w:pPr>
              <w:spacing w:line="360" w:lineRule="auto"/>
              <w:ind w:firstLine="420" w:firstLineChars="200"/>
            </w:pPr>
            <w:r>
              <w:rPr>
                <w:rFonts w:hint="eastAsia"/>
              </w:rPr>
              <w:t>（2）试运行测试：系统安装完成后，系统进行相应的测试。提交测试报告，由双方签字确认。作为验收文档之一。</w:t>
            </w:r>
          </w:p>
          <w:p>
            <w:pPr>
              <w:spacing w:line="360" w:lineRule="auto"/>
              <w:ind w:firstLine="420" w:firstLineChars="200"/>
            </w:pPr>
            <w:r>
              <w:rPr>
                <w:rFonts w:hint="eastAsia"/>
              </w:rPr>
              <w:t>（3）验收测试：根据终验测试方案进行测试，现场提交测试报告，由双方签字确认。</w:t>
            </w:r>
          </w:p>
          <w:p>
            <w:pPr>
              <w:spacing w:line="360" w:lineRule="auto"/>
              <w:ind w:firstLine="420" w:firstLineChars="200"/>
            </w:pPr>
            <w:r>
              <w:rPr>
                <w:rFonts w:hint="eastAsia"/>
              </w:rPr>
              <w:t>（4）竞标人应负责在项目验收时将系统的全部有关产品说明书、安装手册、技术文件、资料、验收报告等文档交付用户方。</w:t>
            </w:r>
          </w:p>
          <w:p>
            <w:pPr>
              <w:spacing w:line="360" w:lineRule="auto"/>
              <w:ind w:firstLine="420" w:firstLineChars="200"/>
            </w:pPr>
            <w:r>
              <w:rPr>
                <w:rFonts w:hint="eastAsia"/>
              </w:rPr>
              <w:t>4．验收要求</w:t>
            </w:r>
          </w:p>
          <w:p>
            <w:pPr>
              <w:spacing w:line="360" w:lineRule="auto"/>
              <w:ind w:firstLine="420" w:firstLineChars="200"/>
            </w:pPr>
            <w:r>
              <w:rPr>
                <w:rFonts w:hint="eastAsia"/>
              </w:rPr>
              <w:t>（1）竞标人应负责在项目验收前将项目实施过程中产生的全部各种相关各阶段文档整理好装订提交，提交运行稳定可靠的本系统及其安装程序并提交相关文档；</w:t>
            </w:r>
          </w:p>
          <w:p>
            <w:pPr>
              <w:spacing w:line="360" w:lineRule="auto"/>
              <w:ind w:firstLine="420" w:firstLineChars="200"/>
            </w:pPr>
            <w:r>
              <w:rPr>
                <w:rFonts w:hint="eastAsia"/>
              </w:rPr>
              <w:t>（2）对整个项目的验收包括检查应用系统是否实现了采购人在标书中所要求的功能，是否与竞标人提出的解决方案中既定目标功能完全一致；</w:t>
            </w:r>
          </w:p>
          <w:p>
            <w:pPr>
              <w:spacing w:line="360" w:lineRule="auto"/>
              <w:ind w:firstLine="420" w:firstLineChars="200"/>
            </w:pPr>
            <w:r>
              <w:rPr>
                <w:rFonts w:hint="eastAsia"/>
              </w:rPr>
              <w:t>（3）本项目的最终验收由采购人组织最终用户、专家组、竞标人共同进行。</w:t>
            </w:r>
          </w:p>
          <w:p>
            <w:pPr>
              <w:spacing w:line="360" w:lineRule="auto"/>
              <w:ind w:firstLine="420" w:firstLineChars="200"/>
            </w:pPr>
            <w:r>
              <w:rPr>
                <w:rFonts w:hint="eastAsia"/>
              </w:rPr>
              <w:t>二．质量保证要求</w:t>
            </w:r>
          </w:p>
          <w:p>
            <w:pPr>
              <w:spacing w:line="360" w:lineRule="auto"/>
              <w:ind w:firstLine="420" w:firstLineChars="200"/>
            </w:pPr>
            <w:r>
              <w:rPr>
                <w:rFonts w:hint="eastAsia"/>
              </w:rPr>
              <w:t>为了保证本系统能按时高质地顺利完成，规避项目风险或将风险降至最低程度，应采取如下质量保证措施：</w:t>
            </w:r>
          </w:p>
          <w:p>
            <w:pPr>
              <w:spacing w:line="360" w:lineRule="auto"/>
              <w:ind w:firstLine="420" w:firstLineChars="200"/>
            </w:pPr>
            <w:r>
              <w:rPr>
                <w:rFonts w:hint="eastAsia"/>
              </w:rPr>
              <w:t>1．建立强有力的项目领导小组和实施小组，确保本系统质量和成功实施。</w:t>
            </w:r>
          </w:p>
          <w:p>
            <w:pPr>
              <w:spacing w:line="360" w:lineRule="auto"/>
              <w:ind w:firstLine="420" w:firstLineChars="200"/>
            </w:pPr>
            <w:r>
              <w:rPr>
                <w:rFonts w:hint="eastAsia"/>
              </w:rPr>
              <w:t>2．认真做好项目前期工作和实施计划。详尽全面的用户需求调研分析是系统实施的基础，先进实用的系统设计方案是系统实施的依据，一定要扎实做好需求调研分析以及系统设计工作，周密做好系统各阶段实施计划。</w:t>
            </w:r>
          </w:p>
          <w:p>
            <w:pPr>
              <w:spacing w:line="360" w:lineRule="auto"/>
              <w:ind w:firstLine="420" w:firstLineChars="200"/>
            </w:pPr>
            <w:r>
              <w:rPr>
                <w:rFonts w:hint="eastAsia"/>
              </w:rPr>
              <w:t>3．确保数据的正确性与全面性。</w:t>
            </w:r>
          </w:p>
          <w:p>
            <w:pPr>
              <w:spacing w:line="360" w:lineRule="auto"/>
              <w:ind w:firstLine="420" w:firstLineChars="200"/>
            </w:pPr>
            <w:r>
              <w:rPr>
                <w:rFonts w:hint="eastAsia"/>
              </w:rPr>
              <w:t>4．强化成果审查、测试工作。对系统各实施阶段产生的成果严格进行校审，对系统各功能模块进行严测试，严把各阶段质量关，从而确保整个系统的高质量。</w:t>
            </w:r>
          </w:p>
          <w:p>
            <w:pPr>
              <w:spacing w:line="360" w:lineRule="auto"/>
              <w:ind w:firstLine="420" w:firstLineChars="200"/>
            </w:pPr>
            <w:r>
              <w:rPr>
                <w:rFonts w:hint="eastAsia"/>
              </w:rPr>
              <w:t>5．做好用户培训工作。系统用户培训工作的好坏关系到系统贯彻与实施的质量与效率，培训教师、培训工作量、受训人员、培训考核等都应具有较高质量和水平。</w:t>
            </w:r>
          </w:p>
          <w:p>
            <w:pPr>
              <w:spacing w:line="360" w:lineRule="auto"/>
              <w:ind w:firstLine="420" w:firstLineChars="200"/>
            </w:pPr>
            <w:r>
              <w:rPr>
                <w:rFonts w:hint="eastAsia"/>
              </w:rPr>
              <w:t>6．保证系统实施资源和建设资金。有足够的系统建设资金是确保系统顺利实施和系统质量的前提条件和根本保证。</w:t>
            </w:r>
          </w:p>
          <w:p>
            <w:pPr>
              <w:spacing w:line="360" w:lineRule="auto"/>
              <w:ind w:firstLine="420" w:firstLineChars="200"/>
            </w:pPr>
            <w:r>
              <w:rPr>
                <w:rFonts w:hint="eastAsia"/>
              </w:rPr>
              <w:t>三、培训要求</w:t>
            </w:r>
          </w:p>
          <w:p>
            <w:pPr>
              <w:spacing w:line="360" w:lineRule="auto"/>
              <w:ind w:firstLine="420" w:firstLineChars="200"/>
            </w:pPr>
            <w:r>
              <w:rPr>
                <w:rFonts w:hint="eastAsia"/>
              </w:rPr>
              <w:t>1．竞标人应承诺有责任完成对所有系统产品等进行培训，包括现场培训、集中培训、专项培训及多媒体演示培训，并提出详细的培训方案。</w:t>
            </w:r>
          </w:p>
          <w:p>
            <w:pPr>
              <w:spacing w:line="360" w:lineRule="auto"/>
              <w:ind w:firstLine="420" w:firstLineChars="200"/>
            </w:pPr>
            <w:r>
              <w:rPr>
                <w:rFonts w:hint="eastAsia"/>
              </w:rPr>
              <w:t>2．培训师资、教材：中标人应提供详细的培训课程以及时间表给采购人，最后以采购人认可为准。对于所有培训，中标人必须派出具有相应专业的实际工作和教学经验的教师和相应的辅导人员进行授课。培训所使用的语言和教材（提供电子文档）必须是中文，否则中标人必须提供相应的翻译。</w:t>
            </w:r>
          </w:p>
          <w:p>
            <w:pPr>
              <w:spacing w:line="360" w:lineRule="auto"/>
              <w:ind w:firstLine="420" w:firstLineChars="200"/>
            </w:pPr>
            <w:r>
              <w:rPr>
                <w:rFonts w:hint="eastAsia"/>
              </w:rPr>
              <w:t>3．现场培训：在设备系统安装调试、故障处理过程中，对采购方技术人员进行实际的操作和故障处理培训。</w:t>
            </w:r>
          </w:p>
          <w:p>
            <w:pPr>
              <w:spacing w:line="360" w:lineRule="auto"/>
              <w:ind w:firstLine="420" w:firstLineChars="200"/>
            </w:pPr>
            <w:r>
              <w:rPr>
                <w:rFonts w:hint="eastAsia"/>
              </w:rPr>
              <w:t>4．集中培训：中标人必须协助采购人对各产品设备使用人员进行集中培训。竞标人应提出详细的培训方案，提供师资力量，对用户分别按系统管理员、操作员、管理人员等进行集中培训，讲授说明设备产品、应用软件的使用、安装、配置、维护和应该注意的事项，使用户能够尽快地熟悉系统的性能。培训内容、时间、地点、人员由双方协商确定。</w:t>
            </w:r>
          </w:p>
        </w:tc>
      </w:tr>
      <w:tr>
        <w:tblPrEx>
          <w:tblCellMar>
            <w:top w:w="0" w:type="dxa"/>
            <w:left w:w="108" w:type="dxa"/>
            <w:bottom w:w="0" w:type="dxa"/>
            <w:right w:w="108" w:type="dxa"/>
          </w:tblCellMar>
        </w:tblPrEx>
        <w:tc>
          <w:tcPr>
            <w:tcW w:w="85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★产品说明</w:t>
            </w:r>
          </w:p>
        </w:tc>
        <w:tc>
          <w:tcPr>
            <w:tcW w:w="4148" w:type="pct"/>
            <w:gridSpan w:val="4"/>
            <w:tcBorders>
              <w:top w:val="single" w:color="auto" w:sz="4" w:space="0"/>
              <w:left w:val="nil"/>
              <w:bottom w:val="single" w:color="auto" w:sz="4" w:space="0"/>
              <w:right w:val="single" w:color="auto" w:sz="4" w:space="0"/>
            </w:tcBorders>
          </w:tcPr>
          <w:p>
            <w:pPr>
              <w:spacing w:line="360" w:lineRule="auto"/>
              <w:ind w:firstLine="420" w:firstLineChars="200"/>
            </w:pPr>
            <w:r>
              <w:rPr>
                <w:rFonts w:hint="eastAsia"/>
              </w:rPr>
              <w:t>1．本分标货物不接受进口产品（即通过中国海关报关验放进入中国境内且产自关境外的产品）参与投标，如有此类产品参与投标的做无效标处理。</w:t>
            </w:r>
          </w:p>
        </w:tc>
      </w:tr>
    </w:tbl>
    <w:p>
      <w:pPr>
        <w:rPr>
          <w:rFonts w:ascii="宋体"/>
          <w:szCs w:val="21"/>
        </w:rPr>
      </w:pPr>
    </w:p>
    <w:p>
      <w:pPr>
        <w:adjustRightInd w:val="0"/>
        <w:snapToGrid w:val="0"/>
        <w:spacing w:line="360" w:lineRule="auto"/>
        <w:ind w:firstLine="442" w:firstLineChars="200"/>
        <w:jc w:val="left"/>
        <w:rPr>
          <w:rFonts w:ascii="宋体" w:hAnsi="宋体"/>
          <w:b/>
          <w:sz w:val="22"/>
          <w:szCs w:val="21"/>
        </w:rPr>
      </w:pPr>
      <w:bookmarkStart w:id="0" w:name="_Toc433615140"/>
      <w:bookmarkStart w:id="1" w:name="_Toc365981208"/>
      <w:bookmarkStart w:id="2" w:name="_Toc372701267"/>
      <w:bookmarkStart w:id="3" w:name="_Toc375916861"/>
      <w:r>
        <w:rPr>
          <w:rFonts w:hint="eastAsia" w:ascii="宋体" w:hAnsi="宋体"/>
          <w:b/>
          <w:sz w:val="22"/>
          <w:szCs w:val="21"/>
        </w:rPr>
        <w:t>（四）安装、测试和验收要求</w:t>
      </w:r>
      <w:bookmarkEnd w:id="0"/>
      <w:bookmarkEnd w:id="1"/>
      <w:bookmarkEnd w:id="2"/>
      <w:bookmarkEnd w:id="3"/>
    </w:p>
    <w:p>
      <w:pPr>
        <w:adjustRightInd w:val="0"/>
        <w:snapToGrid w:val="0"/>
        <w:spacing w:line="360" w:lineRule="auto"/>
        <w:ind w:firstLine="440" w:firstLineChars="200"/>
        <w:jc w:val="left"/>
        <w:rPr>
          <w:rFonts w:ascii="宋体" w:hAnsi="宋体"/>
          <w:sz w:val="22"/>
          <w:szCs w:val="21"/>
        </w:rPr>
      </w:pPr>
      <w:bookmarkStart w:id="4" w:name="_Toc375916862"/>
      <w:bookmarkStart w:id="5" w:name="_Toc365981209"/>
      <w:bookmarkStart w:id="6" w:name="_Toc372701268"/>
      <w:bookmarkStart w:id="7" w:name="_Toc433615141"/>
      <w:r>
        <w:rPr>
          <w:rFonts w:hint="eastAsia" w:ascii="宋体" w:hAnsi="宋体"/>
          <w:sz w:val="22"/>
          <w:szCs w:val="21"/>
        </w:rPr>
        <w:t>1、软件系统布署与安装</w:t>
      </w:r>
      <w:bookmarkEnd w:id="4"/>
      <w:bookmarkEnd w:id="5"/>
      <w:bookmarkEnd w:id="6"/>
      <w:bookmarkEnd w:id="7"/>
    </w:p>
    <w:p>
      <w:pPr>
        <w:adjustRightInd w:val="0"/>
        <w:snapToGrid w:val="0"/>
        <w:spacing w:line="360" w:lineRule="auto"/>
        <w:ind w:firstLine="440" w:firstLineChars="200"/>
        <w:jc w:val="left"/>
        <w:rPr>
          <w:rFonts w:ascii="宋体" w:hAnsi="宋体"/>
          <w:sz w:val="22"/>
          <w:szCs w:val="21"/>
        </w:rPr>
      </w:pPr>
      <w:bookmarkStart w:id="8" w:name="OLE_LINK6"/>
      <w:bookmarkStart w:id="9" w:name="OLE_LINK5"/>
      <w:r>
        <w:rPr>
          <w:rFonts w:hint="eastAsia" w:ascii="宋体" w:hAnsi="宋体"/>
          <w:sz w:val="22"/>
          <w:szCs w:val="21"/>
        </w:rPr>
        <w:t>投标人必须向采购人提供本项目采购的教学设备</w:t>
      </w:r>
      <w:r>
        <w:rPr>
          <w:rFonts w:ascii="宋体" w:hAnsi="宋体"/>
          <w:sz w:val="22"/>
          <w:szCs w:val="21"/>
        </w:rPr>
        <w:t>管理</w:t>
      </w:r>
      <w:r>
        <w:rPr>
          <w:rFonts w:hint="eastAsia" w:ascii="宋体" w:hAnsi="宋体"/>
          <w:sz w:val="22"/>
          <w:szCs w:val="21"/>
        </w:rPr>
        <w:t>系统的布署与安装</w:t>
      </w:r>
      <w:bookmarkEnd w:id="8"/>
      <w:bookmarkEnd w:id="9"/>
      <w:r>
        <w:rPr>
          <w:rFonts w:hint="eastAsia" w:ascii="宋体" w:hAnsi="宋体"/>
          <w:sz w:val="22"/>
          <w:szCs w:val="21"/>
        </w:rPr>
        <w:t>、调试和应用系统集成及后期维护服务的全部内容，软件系统的布署安装的主要目标不仅是使所有软件能够在相应平台上正常运行，而且必须具有对软件系统运行的监控测试手段，以证明系统优化运行。</w:t>
      </w:r>
    </w:p>
    <w:p>
      <w:pPr>
        <w:adjustRightInd w:val="0"/>
        <w:snapToGrid w:val="0"/>
        <w:spacing w:line="360" w:lineRule="auto"/>
        <w:ind w:firstLine="440" w:firstLineChars="200"/>
        <w:jc w:val="left"/>
        <w:rPr>
          <w:rFonts w:ascii="宋体" w:hAnsi="宋体"/>
          <w:sz w:val="22"/>
          <w:szCs w:val="21"/>
        </w:rPr>
      </w:pPr>
      <w:r>
        <w:rPr>
          <w:rFonts w:ascii="宋体" w:hAnsi="宋体"/>
          <w:sz w:val="22"/>
          <w:szCs w:val="21"/>
        </w:rPr>
        <w:t>系统及设备安装方面</w:t>
      </w:r>
      <w:r>
        <w:rPr>
          <w:rFonts w:hint="eastAsia" w:ascii="宋体" w:hAnsi="宋体"/>
          <w:sz w:val="22"/>
          <w:szCs w:val="21"/>
        </w:rPr>
        <w:t>对投标人要求：</w:t>
      </w:r>
    </w:p>
    <w:p>
      <w:pPr>
        <w:adjustRightInd w:val="0"/>
        <w:snapToGrid w:val="0"/>
        <w:spacing w:line="360" w:lineRule="auto"/>
        <w:ind w:firstLine="440" w:firstLineChars="200"/>
        <w:jc w:val="left"/>
        <w:rPr>
          <w:rFonts w:ascii="宋体" w:hAnsi="宋体"/>
          <w:sz w:val="22"/>
          <w:szCs w:val="21"/>
        </w:rPr>
      </w:pPr>
      <w:r>
        <w:rPr>
          <w:rFonts w:ascii="宋体" w:hAnsi="宋体"/>
          <w:sz w:val="22"/>
          <w:szCs w:val="21"/>
        </w:rPr>
        <w:t>1</w:t>
      </w:r>
      <w:r>
        <w:rPr>
          <w:rFonts w:hint="eastAsia" w:ascii="宋体" w:hAnsi="宋体"/>
          <w:sz w:val="22"/>
          <w:szCs w:val="21"/>
        </w:rPr>
        <w:t>）要求投标人必须具有良好信誉和相关实力的技术队伍。</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2）投标人应本着认真负责态度，组织技术队伍，做好投标的整体方案，并书面提出长期保修、维护、服务以及今后技术支持的措施计划和承诺。</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3）平台的布署与安装根据实施计划执行。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4）所有软件系统均须由投标人送货上门并安装调试，用户不再支付任何费用。</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5）自系统安装工作一开始，投标人应允许采购单位的工作人员一起参与系统的安装、测试、诊断及解决遇到的问题等各项工作。</w:t>
      </w:r>
    </w:p>
    <w:p>
      <w:pPr>
        <w:adjustRightInd w:val="0"/>
        <w:snapToGrid w:val="0"/>
        <w:spacing w:line="360" w:lineRule="auto"/>
        <w:ind w:firstLine="440" w:firstLineChars="200"/>
        <w:jc w:val="left"/>
        <w:rPr>
          <w:rFonts w:ascii="宋体" w:hAnsi="宋体"/>
          <w:sz w:val="22"/>
          <w:szCs w:val="21"/>
        </w:rPr>
      </w:pPr>
      <w:bookmarkStart w:id="10" w:name="_Toc490911365"/>
      <w:bookmarkStart w:id="11" w:name="_Toc372701269"/>
      <w:bookmarkStart w:id="12" w:name="_Toc484848533"/>
      <w:bookmarkStart w:id="13" w:name="_Toc365981210"/>
      <w:bookmarkStart w:id="14" w:name="_Toc494963183"/>
      <w:bookmarkStart w:id="15" w:name="_Toc375916863"/>
      <w:bookmarkStart w:id="16" w:name="_Toc433615142"/>
      <w:bookmarkStart w:id="17" w:name="_Toc485037515"/>
      <w:bookmarkStart w:id="18" w:name="_Toc484827188"/>
      <w:r>
        <w:rPr>
          <w:rFonts w:hint="eastAsia" w:ascii="宋体" w:hAnsi="宋体"/>
          <w:sz w:val="22"/>
          <w:szCs w:val="21"/>
        </w:rPr>
        <w:t>2、测试和验收</w:t>
      </w:r>
      <w:bookmarkEnd w:id="10"/>
      <w:bookmarkEnd w:id="11"/>
      <w:bookmarkEnd w:id="12"/>
      <w:bookmarkEnd w:id="13"/>
      <w:bookmarkEnd w:id="14"/>
      <w:bookmarkEnd w:id="15"/>
      <w:bookmarkEnd w:id="16"/>
      <w:bookmarkEnd w:id="17"/>
      <w:bookmarkEnd w:id="18"/>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投标人应根据所提交的验收方案和实施办法，自行组织设备和人员，并在使用单位监查下现场进行测试和验收。</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 xml:space="preserve">本项目整体系统必须至少经过如下测试：单元模块测试；内部联调集成测试；由业务人员参与的功能性测试； 系统整体性能和压力测试。 </w:t>
      </w:r>
    </w:p>
    <w:p>
      <w:pPr>
        <w:adjustRightInd w:val="0"/>
        <w:snapToGrid w:val="0"/>
        <w:spacing w:line="360" w:lineRule="auto"/>
        <w:ind w:firstLine="220" w:firstLineChars="100"/>
        <w:jc w:val="left"/>
        <w:rPr>
          <w:rFonts w:ascii="宋体" w:hAnsi="宋体"/>
          <w:sz w:val="22"/>
          <w:szCs w:val="21"/>
        </w:rPr>
      </w:pPr>
      <w:bookmarkStart w:id="19" w:name="_Toc484848534"/>
      <w:bookmarkStart w:id="20" w:name="_Toc485037516"/>
      <w:bookmarkStart w:id="21" w:name="_Toc490911366"/>
      <w:bookmarkStart w:id="22" w:name="_Toc494963184"/>
      <w:bookmarkStart w:id="23" w:name="_Toc484827189"/>
      <w:r>
        <w:rPr>
          <w:rFonts w:hint="eastAsia" w:ascii="宋体" w:hAnsi="宋体"/>
          <w:sz w:val="22"/>
          <w:szCs w:val="21"/>
        </w:rPr>
        <w:t>（1）系统测试</w:t>
      </w:r>
      <w:bookmarkEnd w:id="19"/>
      <w:bookmarkEnd w:id="20"/>
      <w:bookmarkEnd w:id="21"/>
      <w:bookmarkEnd w:id="22"/>
      <w:bookmarkEnd w:id="23"/>
      <w:bookmarkStart w:id="24" w:name="_Toc490911367"/>
      <w:bookmarkStart w:id="25" w:name="_Toc484827190"/>
      <w:bookmarkStart w:id="26" w:name="_Toc484848535"/>
      <w:bookmarkStart w:id="27" w:name="_Toc485037517"/>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1）投标人自测</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软件系统安装的主要目标不仅是使所有软件能够在相应平台上正常运行，而且必须具有对软件系统运行的监控测试手段，以证明系统优化运行。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系统安装的主要目标不仅是使所有软件能够在相应平台上正常运行，而且必须具有对软件系统运行的监控测试手段，以证明系统优化运行。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次项目开发的系统软件产品为可直接运行的安装文件或者可解压缩的安装文件包，并且保证系统可安全卸载、可备份、可恢复。投标人提供书面的安装手册，软件的安装过程由业主按照安装手册的指导进行，在此过程中发生错误和事故的责任由投标人承担。</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项目验收交由业主单位验收之前，投标人必须提供项目自测试报告，测试报告至少应包括以下内容：单元模块测试、内部联调集成测试、性能和安全性测试。</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2）验收测试</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系统自测完成后，投标人应首先拟出一个测试方案，具体到每一个测试步骤，与业主讨论通过后，方可按计划进行测试。由投标人提供测试方法、测试工具；测试数据由用户协助提供。系统每一项测试必须有详细的测试记录，须有业主和投标人双方代表签字确认，并附有详细的分析报告。</w:t>
      </w:r>
    </w:p>
    <w:p>
      <w:pPr>
        <w:adjustRightInd w:val="0"/>
        <w:snapToGrid w:val="0"/>
        <w:spacing w:line="360" w:lineRule="auto"/>
        <w:ind w:firstLine="330" w:firstLineChars="150"/>
        <w:jc w:val="left"/>
        <w:rPr>
          <w:rFonts w:ascii="宋体" w:hAnsi="宋体"/>
          <w:sz w:val="22"/>
          <w:szCs w:val="21"/>
        </w:rPr>
      </w:pPr>
      <w:r>
        <w:rPr>
          <w:rFonts w:hint="eastAsia" w:ascii="宋体" w:hAnsi="宋体"/>
          <w:sz w:val="22"/>
          <w:szCs w:val="21"/>
        </w:rPr>
        <w:t>（2）系统验收</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本项目验收为系统功能的全验收，项目由学校单位、用户单位和投标人单位共同参加。</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投标人应负责在项目用户验收前将系统的全部各种相关的系统软件，各阶段开发文档，运行稳定可靠的本系统及其安装程序，注释清晰明了的、能够编译生成目前正在运行的应用程序的源代码，以及有关产品和系统说明书、安装手册、技术文件、资料、及安装、测试、验收报告等文档汇集成册交付项目单位。只有文档齐全后才予验收。</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投标人必须根据系统设计方案提出验收方案和验收文档清单（包含需求调研、系统分析、软件设计、软件开发、系统测试、实施上线、运行维护等阶段），学校将根据验收方案对系统每个部分进行逐一进行项目用户验收。</w:t>
      </w:r>
    </w:p>
    <w:p>
      <w:pPr>
        <w:adjustRightInd w:val="0"/>
        <w:snapToGrid w:val="0"/>
        <w:spacing w:line="360" w:lineRule="auto"/>
        <w:ind w:firstLine="440" w:firstLineChars="200"/>
        <w:jc w:val="left"/>
        <w:rPr>
          <w:rFonts w:ascii="宋体" w:hAnsi="宋体"/>
          <w:sz w:val="22"/>
          <w:szCs w:val="21"/>
        </w:rPr>
      </w:pPr>
      <w:bookmarkStart w:id="28" w:name="_Toc372701270"/>
      <w:bookmarkStart w:id="29" w:name="_Toc365981211"/>
      <w:bookmarkStart w:id="30" w:name="_Toc375916864"/>
      <w:bookmarkStart w:id="31" w:name="_Toc433615143"/>
      <w:bookmarkStart w:id="32" w:name="_Toc494963185"/>
      <w:r>
        <w:rPr>
          <w:rFonts w:hint="eastAsia" w:ascii="宋体" w:hAnsi="宋体"/>
          <w:sz w:val="22"/>
          <w:szCs w:val="21"/>
        </w:rPr>
        <w:t>3、产品验收要求</w:t>
      </w:r>
      <w:bookmarkEnd w:id="24"/>
      <w:bookmarkEnd w:id="25"/>
      <w:bookmarkEnd w:id="26"/>
      <w:bookmarkEnd w:id="27"/>
      <w:bookmarkEnd w:id="28"/>
      <w:bookmarkEnd w:id="29"/>
      <w:bookmarkEnd w:id="30"/>
      <w:bookmarkEnd w:id="31"/>
      <w:bookmarkEnd w:id="32"/>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系统验收在试运行通过后进行：即系统安装测试达到技术规范书规定的指标并开通业务后，可进行验收测试。采购、投标人双方按确认后的验收规范进行验收测试。验收测试合格后，由投标方出具《测试验收报告》，经双方签章后，系统开通试运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应负责在项目用户验收前将系统的全部各种相关的系统软件，各阶段开发文档，运行稳定可靠的本系统及其安装程序，以及有关产品和系统说明书、安装手册、技术文件、资料、及安装、测试、验收报告等文档汇集成册交付项目单位；只有文档齐全后才予验收。</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必须根据系统设计方案提出验收方案和验收文档清单（包含需求调研、系统分析、软件设计、软件开发、系统测试、实施上线、运行维护等阶段），业主将根据验收方案对系统每个部分进行逐一进行项目用户验收。</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验收：采购人、投标人双方按验收要求对项目文档、培训情况及试运行出现问题进行验收。在所有验收项全部达到相应要求后，由投标方出具《验收报告》，双方签署《验收报告》。</w:t>
      </w:r>
    </w:p>
    <w:p>
      <w:pPr>
        <w:adjustRightInd w:val="0"/>
        <w:snapToGrid w:val="0"/>
        <w:spacing w:line="360" w:lineRule="auto"/>
        <w:ind w:firstLine="442" w:firstLineChars="200"/>
        <w:jc w:val="left"/>
        <w:rPr>
          <w:rFonts w:ascii="宋体" w:hAnsi="宋体"/>
          <w:b/>
          <w:sz w:val="22"/>
          <w:szCs w:val="21"/>
        </w:rPr>
      </w:pPr>
      <w:bookmarkStart w:id="33" w:name="_Toc433615144"/>
      <w:bookmarkStart w:id="34" w:name="_Toc365981212"/>
      <w:bookmarkStart w:id="35" w:name="_Toc372701271"/>
      <w:bookmarkStart w:id="36" w:name="_Toc375916865"/>
      <w:r>
        <w:rPr>
          <w:rFonts w:hint="eastAsia" w:ascii="宋体" w:hAnsi="宋体"/>
          <w:b/>
          <w:sz w:val="22"/>
          <w:szCs w:val="21"/>
        </w:rPr>
        <w:t>（五）售后服务和培训要求</w:t>
      </w:r>
      <w:bookmarkEnd w:id="33"/>
      <w:bookmarkEnd w:id="34"/>
      <w:bookmarkEnd w:id="35"/>
      <w:bookmarkEnd w:id="36"/>
    </w:p>
    <w:p>
      <w:pPr>
        <w:adjustRightInd w:val="0"/>
        <w:snapToGrid w:val="0"/>
        <w:spacing w:line="360" w:lineRule="auto"/>
        <w:ind w:firstLine="440" w:firstLineChars="200"/>
        <w:jc w:val="left"/>
        <w:rPr>
          <w:rFonts w:ascii="宋体" w:hAnsi="宋体"/>
          <w:sz w:val="22"/>
          <w:szCs w:val="21"/>
        </w:rPr>
      </w:pPr>
      <w:bookmarkStart w:id="37" w:name="_Toc372701272"/>
      <w:bookmarkStart w:id="38" w:name="_Toc375916866"/>
      <w:bookmarkStart w:id="39" w:name="_Toc365981213"/>
      <w:bookmarkStart w:id="40" w:name="_Toc433615145"/>
      <w:r>
        <w:rPr>
          <w:rFonts w:hint="eastAsia" w:ascii="宋体" w:hAnsi="宋体"/>
          <w:sz w:val="22"/>
          <w:szCs w:val="21"/>
        </w:rPr>
        <w:t>1、售后服务</w:t>
      </w:r>
      <w:bookmarkEnd w:id="37"/>
      <w:bookmarkEnd w:id="38"/>
      <w:bookmarkEnd w:id="39"/>
      <w:bookmarkEnd w:id="40"/>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1）投标人应承诺保证该项目按时正式稳定地运行；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2）售后服务从系统验收通过之日起计算，</w:t>
      </w:r>
      <w:r>
        <w:rPr>
          <w:rFonts w:ascii="宋体" w:hAnsi="宋体"/>
          <w:sz w:val="22"/>
          <w:szCs w:val="21"/>
        </w:rPr>
        <w:t xml:space="preserve"> </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3）投标人在项目终验后，必须提供</w:t>
      </w:r>
      <w:r>
        <w:rPr>
          <w:rFonts w:hint="eastAsia" w:ascii="宋体" w:hAnsi="宋体"/>
          <w:color w:val="FF0000"/>
          <w:sz w:val="22"/>
          <w:szCs w:val="21"/>
        </w:rPr>
        <w:t>五年</w:t>
      </w:r>
      <w:r>
        <w:rPr>
          <w:rFonts w:hint="eastAsia" w:ascii="宋体" w:hAnsi="宋体"/>
          <w:sz w:val="22"/>
          <w:szCs w:val="21"/>
        </w:rPr>
        <w:t>的维护期，在维护期内，提供平台系统版本免费升级及对软件进行维护和完善，费用计入投标总价；</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4）保修服务方式首先为投标人电话、远程进行，如解决不了即上门保修，如由此产生的上门费用均由投标人承担；</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5）全天候24小时服务响应，维护工程师应在接到报障</w:t>
      </w:r>
      <w:r>
        <w:rPr>
          <w:rFonts w:hint="eastAsia" w:ascii="宋体" w:hAnsi="宋体"/>
          <w:color w:val="FF0000"/>
          <w:sz w:val="22"/>
          <w:szCs w:val="21"/>
        </w:rPr>
        <w:t>后12个小时</w:t>
      </w:r>
      <w:r>
        <w:rPr>
          <w:rFonts w:hint="eastAsia" w:ascii="宋体" w:hAnsi="宋体"/>
          <w:sz w:val="22"/>
          <w:szCs w:val="21"/>
        </w:rPr>
        <w:t>内到现场处理应用系统出现的故障；</w:t>
      </w:r>
      <w:r>
        <w:rPr>
          <w:rFonts w:hint="eastAsia" w:ascii="宋体" w:hAnsi="宋体"/>
          <w:color w:val="FF0000"/>
          <w:sz w:val="22"/>
          <w:szCs w:val="21"/>
        </w:rPr>
        <w:t>一年内每三个月一次</w:t>
      </w:r>
      <w:r>
        <w:rPr>
          <w:rFonts w:hint="eastAsia" w:ascii="宋体" w:hAnsi="宋体"/>
          <w:sz w:val="22"/>
          <w:szCs w:val="21"/>
        </w:rPr>
        <w:t>系统安全检测；</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6）投标人提出维护期内的维护内容和范围（产品、技术、模块）。包括对软件的相应调整（操作平台的改变、数据库改变等），功能模块修改、增加、删除（注明功能模块免费调整、修改、增加的期限，属于程序BUG的问题要求终生免费保修），软件的定期升级等的服务方式；</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7）投标人应提供定期的咨询服务（维护期内至少每三个月一次，维护期后至少每半年一次），若业主行政组织调整或业务流程变更，则投标人应提供及时的变更服务。</w:t>
      </w:r>
    </w:p>
    <w:p>
      <w:pPr>
        <w:adjustRightInd w:val="0"/>
        <w:snapToGrid w:val="0"/>
        <w:spacing w:line="360" w:lineRule="auto"/>
        <w:ind w:firstLine="440" w:firstLineChars="200"/>
        <w:jc w:val="left"/>
        <w:rPr>
          <w:rFonts w:ascii="宋体" w:hAnsi="宋体"/>
          <w:sz w:val="22"/>
          <w:szCs w:val="21"/>
        </w:rPr>
      </w:pPr>
      <w:bookmarkStart w:id="41" w:name="_Toc365981214"/>
      <w:bookmarkStart w:id="42" w:name="_Toc433615146"/>
      <w:bookmarkStart w:id="43" w:name="_Toc375916867"/>
      <w:bookmarkStart w:id="44" w:name="_Toc372701273"/>
      <w:r>
        <w:rPr>
          <w:rFonts w:hint="eastAsia" w:ascii="宋体" w:hAnsi="宋体"/>
          <w:sz w:val="22"/>
          <w:szCs w:val="21"/>
        </w:rPr>
        <w:t>2、项目培训</w:t>
      </w:r>
      <w:bookmarkEnd w:id="41"/>
      <w:bookmarkEnd w:id="42"/>
      <w:bookmarkEnd w:id="43"/>
      <w:bookmarkEnd w:id="44"/>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必须提供相应的应用软件技术、系统操作等方面的培训。有关应用软件的操作培训课程，培训应该在系统运作前完成。投标人须在响应文件中提出全面、详细的培训课程以及时间表交给业主，并在合同签定后征得业主和监理同意后实施。</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在实施过程中提供免费、全面的培训，包括面向系统管理员和业务人员的相应的培训、基于系统平台接口规范标准的二次开发培训、开发平台和开发工具培训、配置管理和系统维护培训、数据定义和管理培训、客户端操作培训。投标人将详细的培训课程以及时间表交给业主，最后以业主认可为准。</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对于所有培训，投标人必须派出具有相应专业资格和实际工作、教育经验的教师和相应的辅导人员进行培训，主要培训教员应至少具有三年的相关培训经验，培训所使用的语言必须是中文，否则投标人必须提供相应的翻译。</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培训项目结束之时，安排学员进行培训测试，以检验学员对系统的基本操作能力和掌握水平；同时学员也可对于整个培训项目作出评价，当学员普遍反映对培训课程不满意时，业主可要求投标人重新安排培训，并承担全费用。</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投标人必须为所有被培训人员提供文字资料和讲义等培训教材，培训教材必须以印刷品形式提供，费用由投标人支付。所有的资料必须是中文或英文书写；</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投标人须提供详细的培训计划：对采购人的人员培训方式分两类，一类为业务人员培训，培训采用集中授课、现场演示和辅助操作三种培训方式；另一类为技术人员培训，培训采用理论培训和实际操作相结合的方式。</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培训方式：集中授课、现场演示和辅助操作。</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培训主要面向的对象如下：</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 开发管理培训：即是系统开发的各个阶段的培训，这些阶段包括：项目准备、用户需求分析、系统概要设计、系统详细设计、程序编制和运行建立。</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开发管理培训涉及的学校的相关人员主要是技术人员，分阶段的被培训的人员包括：项目管理人员、需求分析人员、系统分析设计人员和系统开发人员。</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运行管理培训：为了使学校的相关人员掌握有关应用系统的使用、维护和管理方法，达到能独立进行管理、故障处理、日常测试和维护等工作的目的，应进行系统的技术培训，以保证所建设的系统能够正常、安全、平稳地运行。</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3）使用培训：对学校的相关人员的用户进行应用系统使用培训，掌握平台的使用</w:t>
      </w:r>
      <w:bookmarkStart w:id="45" w:name="_Toc326742524"/>
      <w:bookmarkStart w:id="46" w:name="_Toc286852046"/>
      <w:r>
        <w:rPr>
          <w:rFonts w:hint="eastAsia" w:ascii="宋体" w:hAnsi="宋体"/>
          <w:sz w:val="22"/>
          <w:szCs w:val="21"/>
        </w:rPr>
        <w:t>。</w:t>
      </w:r>
    </w:p>
    <w:p>
      <w:pPr>
        <w:adjustRightInd w:val="0"/>
        <w:snapToGrid w:val="0"/>
        <w:spacing w:line="360" w:lineRule="auto"/>
        <w:ind w:firstLine="442" w:firstLineChars="200"/>
        <w:jc w:val="left"/>
        <w:rPr>
          <w:rFonts w:ascii="宋体" w:hAnsi="宋体"/>
          <w:b/>
          <w:sz w:val="22"/>
          <w:szCs w:val="21"/>
        </w:rPr>
      </w:pPr>
      <w:bookmarkStart w:id="47" w:name="_Toc433615147"/>
      <w:bookmarkStart w:id="48" w:name="_Toc365981215"/>
      <w:bookmarkStart w:id="49" w:name="_Toc372701274"/>
      <w:bookmarkStart w:id="50" w:name="_Toc375916868"/>
      <w:r>
        <w:rPr>
          <w:rFonts w:hint="eastAsia" w:ascii="宋体" w:hAnsi="宋体"/>
          <w:b/>
          <w:sz w:val="22"/>
          <w:szCs w:val="21"/>
        </w:rPr>
        <w:t>（六）技术转移和成果交付要求</w:t>
      </w:r>
      <w:bookmarkEnd w:id="47"/>
      <w:bookmarkEnd w:id="48"/>
      <w:bookmarkEnd w:id="49"/>
      <w:bookmarkEnd w:id="50"/>
    </w:p>
    <w:p>
      <w:pPr>
        <w:adjustRightInd w:val="0"/>
        <w:snapToGrid w:val="0"/>
        <w:spacing w:line="360" w:lineRule="auto"/>
        <w:ind w:firstLine="440" w:firstLineChars="200"/>
        <w:jc w:val="left"/>
        <w:rPr>
          <w:rFonts w:ascii="宋体" w:hAnsi="宋体"/>
          <w:sz w:val="22"/>
          <w:szCs w:val="21"/>
        </w:rPr>
      </w:pPr>
      <w:bookmarkStart w:id="51" w:name="_Toc372701275"/>
      <w:bookmarkStart w:id="52" w:name="_Toc365981216"/>
      <w:bookmarkStart w:id="53" w:name="_Toc375916869"/>
      <w:bookmarkStart w:id="54" w:name="_Toc433615148"/>
      <w:r>
        <w:rPr>
          <w:rFonts w:hint="eastAsia" w:ascii="宋体" w:hAnsi="宋体"/>
          <w:sz w:val="22"/>
          <w:szCs w:val="21"/>
        </w:rPr>
        <w:t>1、技术转移</w:t>
      </w:r>
      <w:bookmarkEnd w:id="51"/>
      <w:bookmarkEnd w:id="52"/>
      <w:bookmarkEnd w:id="53"/>
      <w:bookmarkEnd w:id="54"/>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通过本期项目的合作开发，从技术实现上，将合作公司先进的开发技术、项目管理模式和经验与学校的需求资源相结合，真正建立学校的信息化校园平台和专业技术队伍，而不仅仅是合作公司某个时期的一个产品模块。同时，学校的工作人员全面深入地参与开发的全过程，包括需求分析、系统设计、代码生成、测试运行以及使用维护五个阶段，掌握各个环节的主要技术，具有对软硬件系统平台、各个业务系统的技术维护能力以及二次开发能力，实现知识和技术的转移。</w:t>
      </w:r>
    </w:p>
    <w:p>
      <w:pPr>
        <w:adjustRightInd w:val="0"/>
        <w:snapToGrid w:val="0"/>
        <w:spacing w:line="360" w:lineRule="auto"/>
        <w:ind w:firstLine="440" w:firstLineChars="200"/>
        <w:jc w:val="left"/>
        <w:rPr>
          <w:rFonts w:ascii="宋体" w:hAnsi="宋体"/>
          <w:sz w:val="22"/>
          <w:szCs w:val="21"/>
        </w:rPr>
      </w:pPr>
      <w:bookmarkStart w:id="55" w:name="_Toc365981217"/>
      <w:bookmarkStart w:id="56" w:name="_Toc375916870"/>
      <w:bookmarkStart w:id="57" w:name="_Toc433615149"/>
      <w:bookmarkStart w:id="58" w:name="_Toc372701276"/>
      <w:r>
        <w:rPr>
          <w:rFonts w:hint="eastAsia" w:ascii="宋体" w:hAnsi="宋体"/>
          <w:sz w:val="22"/>
          <w:szCs w:val="21"/>
        </w:rPr>
        <w:t>2、成果交付</w:t>
      </w:r>
      <w:bookmarkEnd w:id="55"/>
      <w:bookmarkEnd w:id="56"/>
      <w:bookmarkEnd w:id="57"/>
      <w:bookmarkEnd w:id="58"/>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在本期项目的开发过程中和交付使用后，各个阶段都需有各种成果和文档资料。这些成果和文档资料对所开发系统的维护和持续发展起着非常重大的作用。因此，要求将全面、规范的成果和文档资料交付给学校，而且要提供明确的交付清单。同时，成果和文档资料必须符合软件工程的相关要求。要交付的成果和文档资料主要包括以下部分：</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1）源代码：为保证学校将来可以二次开发，要求提供数字校园应用实现的相关源代码。</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2）技术文档：包括项目开发中的各种技术文档，如开发环境配置说明、需求分析说明、变更说明、系统设计说明、安装手册、执行程序、用户手册、测试用例、测试结果、系统维护说明、系统培训资料以及有关系统接口的技术说明等等。</w:t>
      </w:r>
    </w:p>
    <w:p>
      <w:pPr>
        <w:adjustRightInd w:val="0"/>
        <w:snapToGrid w:val="0"/>
        <w:spacing w:line="360" w:lineRule="auto"/>
        <w:ind w:firstLine="440" w:firstLineChars="200"/>
        <w:jc w:val="left"/>
        <w:rPr>
          <w:rFonts w:ascii="宋体" w:hAnsi="宋体"/>
          <w:sz w:val="22"/>
          <w:szCs w:val="21"/>
        </w:rPr>
      </w:pPr>
      <w:r>
        <w:rPr>
          <w:rFonts w:hint="eastAsia" w:ascii="宋体" w:hAnsi="宋体"/>
          <w:sz w:val="22"/>
          <w:szCs w:val="21"/>
        </w:rPr>
        <w:t>3）管理文档：包括项目开发中的一些工作文档，如计划、报告、讨论纲要、会议记录等。</w:t>
      </w:r>
    </w:p>
    <w:p>
      <w:pPr>
        <w:adjustRightInd w:val="0"/>
        <w:snapToGrid w:val="0"/>
        <w:spacing w:line="360" w:lineRule="auto"/>
        <w:ind w:firstLine="442" w:firstLineChars="200"/>
        <w:jc w:val="left"/>
        <w:rPr>
          <w:rFonts w:ascii="宋体" w:hAnsi="宋体"/>
          <w:b/>
          <w:sz w:val="22"/>
          <w:szCs w:val="21"/>
        </w:rPr>
      </w:pPr>
      <w:bookmarkStart w:id="59" w:name="_Toc365981218"/>
      <w:bookmarkStart w:id="60" w:name="_Toc372701277"/>
      <w:bookmarkStart w:id="61" w:name="_Toc433615150"/>
      <w:bookmarkStart w:id="62" w:name="_Toc375916871"/>
      <w:r>
        <w:rPr>
          <w:rFonts w:hint="eastAsia" w:ascii="宋体" w:hAnsi="宋体"/>
          <w:b/>
          <w:sz w:val="22"/>
          <w:szCs w:val="21"/>
        </w:rPr>
        <w:t>（七）用户的配合条件</w:t>
      </w:r>
      <w:bookmarkEnd w:id="45"/>
      <w:bookmarkEnd w:id="46"/>
      <w:bookmarkEnd w:id="59"/>
      <w:bookmarkEnd w:id="60"/>
      <w:bookmarkEnd w:id="61"/>
      <w:bookmarkEnd w:id="62"/>
    </w:p>
    <w:p>
      <w:pPr>
        <w:adjustRightInd w:val="0"/>
        <w:snapToGrid w:val="0"/>
        <w:spacing w:line="360" w:lineRule="auto"/>
        <w:ind w:firstLine="440" w:firstLineChars="200"/>
        <w:jc w:val="left"/>
        <w:rPr>
          <w:rFonts w:hint="eastAsia" w:ascii="宋体" w:hAnsi="宋体"/>
          <w:sz w:val="22"/>
          <w:szCs w:val="21"/>
        </w:rPr>
      </w:pPr>
      <w:r>
        <w:rPr>
          <w:rFonts w:hint="eastAsia" w:ascii="宋体" w:hAnsi="宋体"/>
          <w:sz w:val="22"/>
          <w:szCs w:val="21"/>
        </w:rPr>
        <w:t>在合同履行过程中，用户将提供必要的配合及协调，如根据合同规定及时付款、及时签署有关确认证书、与供货商一起确认进场安装条件、提供安装调试所需的相关工作条件等等。</w:t>
      </w: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adjustRightInd w:val="0"/>
        <w:snapToGrid w:val="0"/>
        <w:spacing w:line="360" w:lineRule="auto"/>
        <w:ind w:firstLine="440" w:firstLineChars="200"/>
        <w:jc w:val="left"/>
        <w:rPr>
          <w:rFonts w:hint="eastAsia" w:ascii="宋体" w:hAnsi="宋体"/>
          <w:sz w:val="22"/>
          <w:szCs w:val="21"/>
        </w:rPr>
      </w:pPr>
    </w:p>
    <w:p>
      <w:pPr>
        <w:pStyle w:val="4"/>
        <w:snapToGrid w:val="0"/>
        <w:spacing w:before="120" w:after="120" w:line="440" w:lineRule="exact"/>
        <w:jc w:val="center"/>
        <w:outlineLvl w:val="0"/>
        <w:rPr>
          <w:rFonts w:hAnsi="宋体"/>
          <w:sz w:val="44"/>
          <w:szCs w:val="44"/>
        </w:rPr>
      </w:pPr>
      <w:r>
        <w:rPr>
          <w:rFonts w:hint="eastAsia" w:hAnsi="宋体"/>
          <w:sz w:val="44"/>
          <w:szCs w:val="44"/>
        </w:rPr>
        <w:t>第</w:t>
      </w:r>
      <w:r>
        <w:rPr>
          <w:rFonts w:hint="eastAsia" w:hAnsi="宋体"/>
          <w:sz w:val="44"/>
          <w:szCs w:val="44"/>
          <w:lang w:eastAsia="zh-CN"/>
        </w:rPr>
        <w:t>二</w:t>
      </w:r>
      <w:r>
        <w:rPr>
          <w:rFonts w:hint="eastAsia" w:hAnsi="宋体"/>
          <w:sz w:val="44"/>
          <w:szCs w:val="44"/>
        </w:rPr>
        <w:t>章</w:t>
      </w:r>
      <w:r>
        <w:rPr>
          <w:rFonts w:hAnsi="宋体"/>
          <w:sz w:val="44"/>
          <w:szCs w:val="44"/>
        </w:rPr>
        <w:t xml:space="preserve">  </w:t>
      </w:r>
      <w:r>
        <w:rPr>
          <w:rFonts w:hint="eastAsia" w:hAnsi="宋体"/>
          <w:sz w:val="44"/>
          <w:szCs w:val="44"/>
        </w:rPr>
        <w:t>投标人须知</w:t>
      </w:r>
      <w:bookmarkStart w:id="63" w:name="_Toc254970526"/>
      <w:bookmarkStart w:id="64" w:name="_Toc254970667"/>
      <w:r>
        <w:rPr>
          <w:rFonts w:hint="eastAsia" w:hAnsi="宋体"/>
          <w:sz w:val="44"/>
          <w:szCs w:val="44"/>
        </w:rPr>
        <w:t>前附表</w:t>
      </w:r>
      <w:bookmarkEnd w:id="63"/>
      <w:bookmarkEnd w:id="64"/>
    </w:p>
    <w:tbl>
      <w:tblPr>
        <w:tblStyle w:val="7"/>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b/>
                <w:sz w:val="22"/>
                <w:szCs w:val="22"/>
              </w:rPr>
            </w:pPr>
            <w:r>
              <w:rPr>
                <w:rFonts w:hint="eastAsia" w:ascii="宋体" w:hAnsi="宋体"/>
                <w:b/>
                <w:sz w:val="22"/>
                <w:szCs w:val="22"/>
              </w:rPr>
              <w:t>序号</w:t>
            </w:r>
          </w:p>
        </w:tc>
        <w:tc>
          <w:tcPr>
            <w:tcW w:w="8820" w:type="dxa"/>
            <w:tcBorders>
              <w:top w:val="single" w:color="auto" w:sz="4" w:space="0"/>
              <w:left w:val="single" w:color="auto" w:sz="4" w:space="0"/>
              <w:bottom w:val="single" w:color="auto" w:sz="4" w:space="0"/>
            </w:tcBorders>
            <w:vAlign w:val="center"/>
          </w:tcPr>
          <w:p>
            <w:pPr>
              <w:snapToGrid w:val="0"/>
              <w:spacing w:line="360" w:lineRule="exact"/>
              <w:jc w:val="center"/>
              <w:rPr>
                <w:rFonts w:ascii="宋体"/>
                <w:b/>
                <w:sz w:val="22"/>
                <w:szCs w:val="22"/>
              </w:rPr>
            </w:pPr>
            <w:r>
              <w:rPr>
                <w:rFonts w:hint="eastAsia" w:ascii="宋体" w:hAnsi="宋体"/>
                <w:b/>
                <w:sz w:val="22"/>
                <w:szCs w:val="22"/>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bCs/>
                <w:sz w:val="22"/>
                <w:szCs w:val="22"/>
              </w:rPr>
            </w:pPr>
            <w:r>
              <w:rPr>
                <w:rFonts w:hint="eastAsia" w:ascii="宋体" w:hAnsi="宋体"/>
                <w:sz w:val="22"/>
                <w:szCs w:val="22"/>
              </w:rPr>
              <w:t>项目名称：</w:t>
            </w:r>
            <w:r>
              <w:rPr>
                <w:rFonts w:ascii="宋体" w:hAnsi="宋体"/>
                <w:bCs/>
                <w:sz w:val="22"/>
                <w:szCs w:val="22"/>
              </w:rPr>
              <w:t xml:space="preserve"> </w:t>
            </w:r>
            <w:r>
              <w:rPr>
                <w:rFonts w:hint="eastAsia" w:ascii="宋体" w:hAnsi="宋体"/>
                <w:bCs/>
                <w:sz w:val="22"/>
                <w:szCs w:val="22"/>
              </w:rPr>
              <w:t>广西艺术学院教学设备管理系统</w:t>
            </w:r>
            <w:r>
              <w:rPr>
                <w:rFonts w:ascii="宋体" w:hAnsi="宋体"/>
                <w:bCs/>
                <w:sz w:val="22"/>
                <w:szCs w:val="22"/>
              </w:rPr>
              <w:t xml:space="preserve">     </w:t>
            </w:r>
            <w:r>
              <w:rPr>
                <w:rFonts w:hint="eastAsia" w:ascii="宋体" w:hAnsi="宋体"/>
                <w:bCs/>
                <w:sz w:val="22"/>
                <w:szCs w:val="22"/>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2</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投标报价及费用：无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3</w:t>
            </w:r>
          </w:p>
        </w:tc>
        <w:tc>
          <w:tcPr>
            <w:tcW w:w="8820" w:type="dxa"/>
            <w:tcBorders>
              <w:top w:val="single" w:color="auto" w:sz="4" w:space="0"/>
              <w:left w:val="single" w:color="auto" w:sz="4" w:space="0"/>
              <w:bottom w:val="single" w:color="auto" w:sz="4" w:space="0"/>
            </w:tcBorders>
            <w:vAlign w:val="center"/>
          </w:tcPr>
          <w:p>
            <w:pPr>
              <w:snapToGrid w:val="0"/>
              <w:spacing w:line="400" w:lineRule="exact"/>
              <w:rPr>
                <w:rFonts w:ascii="宋体"/>
                <w:b/>
                <w:bCs/>
                <w:sz w:val="22"/>
                <w:szCs w:val="22"/>
                <w:shd w:val="clear" w:color="auto" w:fill="FFFFFF"/>
              </w:rPr>
            </w:pPr>
            <w:r>
              <w:rPr>
                <w:rFonts w:hint="eastAsia" w:ascii="宋体" w:hAnsi="宋体"/>
                <w:sz w:val="22"/>
                <w:szCs w:val="22"/>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4</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现场踏勘：无</w:t>
            </w:r>
            <w:r>
              <w:rPr>
                <w:rFonts w:ascii="宋体" w:hAnsi="宋体"/>
                <w:sz w:val="22"/>
                <w:szCs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5</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6</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答疑与澄清：投标人如认为招标文件表述不清晰、存在歧视性、排他性或者其他违法内容的，应</w:t>
            </w:r>
            <w:r>
              <w:rPr>
                <w:rFonts w:hint="eastAsia" w:ascii="宋体" w:hAnsi="宋体"/>
                <w:color w:val="FF0000"/>
                <w:sz w:val="22"/>
                <w:szCs w:val="22"/>
              </w:rPr>
              <w:t>当于</w:t>
            </w:r>
            <w:r>
              <w:rPr>
                <w:rFonts w:ascii="宋体" w:hAnsi="宋体"/>
                <w:color w:val="FF0000"/>
                <w:sz w:val="22"/>
                <w:szCs w:val="22"/>
                <w:u w:val="single"/>
              </w:rPr>
              <w:t xml:space="preserve">2020年11月 </w:t>
            </w:r>
            <w:r>
              <w:rPr>
                <w:rFonts w:hint="eastAsia" w:ascii="宋体" w:hAnsi="宋体"/>
                <w:color w:val="FF0000"/>
                <w:sz w:val="22"/>
                <w:szCs w:val="22"/>
                <w:u w:val="single"/>
                <w:lang w:val="en-US" w:eastAsia="zh-CN"/>
              </w:rPr>
              <w:t>17</w:t>
            </w:r>
            <w:r>
              <w:rPr>
                <w:rFonts w:ascii="宋体" w:hAnsi="宋体"/>
                <w:color w:val="FF0000"/>
                <w:sz w:val="22"/>
                <w:szCs w:val="22"/>
                <w:u w:val="single"/>
              </w:rPr>
              <w:t xml:space="preserve"> </w:t>
            </w:r>
            <w:r>
              <w:rPr>
                <w:rFonts w:hint="eastAsia" w:ascii="宋体" w:hAnsi="宋体"/>
                <w:color w:val="FF0000"/>
                <w:sz w:val="22"/>
                <w:szCs w:val="22"/>
              </w:rPr>
              <w:t>日前</w:t>
            </w:r>
            <w:r>
              <w:rPr>
                <w:rFonts w:hint="eastAsia" w:ascii="宋体" w:hAnsi="宋体"/>
                <w:sz w:val="22"/>
                <w:szCs w:val="22"/>
              </w:rPr>
              <w:t>，以书面形式要求招标采购单位作出书面解释、澄清或者向招标采购单位提出书面质疑；答疑内容是招标文件的组成部份，并将以书面形式送达所有获取招标文件的投标人；</w:t>
            </w:r>
            <w:r>
              <w:rPr>
                <w:rFonts w:hint="eastAsia" w:ascii="宋体" w:hAnsi="宋体" w:cs="Courier New"/>
                <w:sz w:val="22"/>
                <w:szCs w:val="22"/>
              </w:rPr>
              <w:t>招标采购单位可以视采购具体情况，延长投标截止时间和开标时间，但至少应当在招标文件要求提交投标文件的截止时间三日前，将变更时间书面通知所有招标文件收受人，并在学校指定的采购信息发布媒体上发布变更公告（详细见公告中公布的网站）</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7</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投标文件组成：开标一览表</w:t>
            </w:r>
            <w:r>
              <w:rPr>
                <w:rFonts w:ascii="宋体" w:hAnsi="宋体"/>
                <w:color w:val="FF0000"/>
                <w:sz w:val="22"/>
                <w:szCs w:val="22"/>
                <w:u w:val="single"/>
              </w:rPr>
              <w:t xml:space="preserve"> </w:t>
            </w:r>
            <w:r>
              <w:rPr>
                <w:rFonts w:hint="eastAsia" w:ascii="宋体" w:hAnsi="宋体" w:cs="Arial"/>
                <w:color w:val="FF0000"/>
                <w:sz w:val="22"/>
                <w:szCs w:val="22"/>
                <w:u w:val="single"/>
              </w:rPr>
              <w:t>壹</w:t>
            </w:r>
            <w:r>
              <w:rPr>
                <w:rFonts w:ascii="宋体" w:hAnsi="宋体" w:cs="Arial"/>
                <w:color w:val="FF0000"/>
                <w:sz w:val="22"/>
                <w:szCs w:val="22"/>
                <w:u w:val="single"/>
              </w:rPr>
              <w:t xml:space="preserve"> </w:t>
            </w:r>
            <w:r>
              <w:rPr>
                <w:rFonts w:hint="eastAsia" w:ascii="宋体" w:hAnsi="宋体" w:cs="Arial"/>
                <w:sz w:val="22"/>
                <w:szCs w:val="22"/>
              </w:rPr>
              <w:t>份；技术、商务、报价文件</w:t>
            </w:r>
            <w:r>
              <w:rPr>
                <w:rFonts w:hint="eastAsia" w:ascii="宋体" w:hAnsi="宋体"/>
                <w:sz w:val="22"/>
                <w:szCs w:val="22"/>
              </w:rPr>
              <w:t>正本各</w:t>
            </w:r>
            <w:r>
              <w:rPr>
                <w:rFonts w:ascii="宋体" w:hAnsi="宋体"/>
                <w:sz w:val="22"/>
                <w:szCs w:val="22"/>
                <w:u w:val="single"/>
              </w:rPr>
              <w:t xml:space="preserve"> </w:t>
            </w:r>
            <w:r>
              <w:rPr>
                <w:rFonts w:hint="eastAsia" w:ascii="宋体" w:hAnsi="宋体" w:cs="Arial"/>
                <w:color w:val="FF0000"/>
                <w:sz w:val="22"/>
                <w:szCs w:val="22"/>
                <w:u w:val="single"/>
              </w:rPr>
              <w:t>壹</w:t>
            </w:r>
            <w:r>
              <w:rPr>
                <w:rFonts w:ascii="宋体" w:hAnsi="宋体"/>
                <w:color w:val="FF0000"/>
                <w:sz w:val="22"/>
                <w:szCs w:val="22"/>
                <w:u w:val="single"/>
              </w:rPr>
              <w:t xml:space="preserve"> </w:t>
            </w:r>
            <w:r>
              <w:rPr>
                <w:rFonts w:hint="eastAsia" w:ascii="宋体" w:hAnsi="宋体"/>
                <w:sz w:val="22"/>
                <w:szCs w:val="22"/>
              </w:rPr>
              <w:t>份；副本</w:t>
            </w:r>
            <w:r>
              <w:rPr>
                <w:rFonts w:hint="eastAsia" w:ascii="宋体" w:hAnsi="宋体"/>
                <w:color w:val="FF0000"/>
                <w:sz w:val="22"/>
                <w:szCs w:val="22"/>
              </w:rPr>
              <w:t>各</w:t>
            </w:r>
            <w:r>
              <w:rPr>
                <w:rFonts w:hint="eastAsia" w:ascii="宋体" w:hAnsi="宋体"/>
                <w:color w:val="FF0000"/>
                <w:sz w:val="22"/>
                <w:szCs w:val="22"/>
                <w:u w:val="single"/>
              </w:rPr>
              <w:t xml:space="preserve"> </w:t>
            </w:r>
            <w:r>
              <w:rPr>
                <w:rFonts w:hint="eastAsia" w:ascii="宋体" w:hAnsi="宋体"/>
                <w:color w:val="FF0000"/>
                <w:sz w:val="22"/>
                <w:szCs w:val="22"/>
                <w:u w:val="single"/>
                <w:lang w:eastAsia="zh-CN"/>
              </w:rPr>
              <w:t>壹</w:t>
            </w:r>
            <w:r>
              <w:rPr>
                <w:rFonts w:hint="eastAsia" w:ascii="宋体" w:hAnsi="宋体"/>
                <w:color w:val="FF0000"/>
                <w:sz w:val="22"/>
                <w:szCs w:val="22"/>
                <w:u w:val="single"/>
              </w:rPr>
              <w:t xml:space="preserve"> </w:t>
            </w:r>
            <w:r>
              <w:rPr>
                <w:rFonts w:hint="eastAsia" w:ascii="宋体" w:hAnsi="宋体"/>
                <w:color w:val="FF0000"/>
                <w:sz w:val="22"/>
                <w:szCs w:val="22"/>
              </w:rPr>
              <w:t>份</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8</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投标截止时间及地点：</w:t>
            </w:r>
            <w:r>
              <w:rPr>
                <w:rFonts w:ascii="宋体" w:hAnsi="宋体"/>
                <w:b/>
                <w:color w:val="FF0000"/>
                <w:sz w:val="22"/>
                <w:szCs w:val="22"/>
              </w:rPr>
              <w:t>2020年11月</w:t>
            </w:r>
            <w:r>
              <w:rPr>
                <w:rFonts w:hint="eastAsia" w:ascii="宋体" w:hAnsi="宋体"/>
                <w:b/>
                <w:color w:val="FF0000"/>
                <w:sz w:val="22"/>
                <w:szCs w:val="22"/>
                <w:lang w:val="en-US" w:eastAsia="zh-CN"/>
              </w:rPr>
              <w:t>19</w:t>
            </w:r>
            <w:r>
              <w:rPr>
                <w:rFonts w:hint="eastAsia" w:ascii="宋体" w:hAnsi="宋体"/>
                <w:b/>
                <w:color w:val="FF0000"/>
                <w:sz w:val="22"/>
                <w:szCs w:val="22"/>
              </w:rPr>
              <w:t>日</w:t>
            </w:r>
            <w:r>
              <w:rPr>
                <w:rFonts w:hint="eastAsia" w:ascii="宋体" w:hAnsi="宋体"/>
                <w:b/>
                <w:color w:val="FF0000"/>
                <w:sz w:val="22"/>
                <w:szCs w:val="22"/>
                <w:lang w:eastAsia="zh-CN"/>
              </w:rPr>
              <w:t>下午</w:t>
            </w:r>
            <w:r>
              <w:rPr>
                <w:rFonts w:hint="eastAsia" w:ascii="宋体" w:hAnsi="宋体"/>
                <w:b/>
                <w:color w:val="FF0000"/>
                <w:sz w:val="22"/>
                <w:szCs w:val="22"/>
                <w:lang w:val="en-US" w:eastAsia="zh-CN"/>
              </w:rPr>
              <w:t>15:00至17：00之间，其他时间不接收投标文件</w:t>
            </w:r>
            <w:r>
              <w:rPr>
                <w:rFonts w:hint="eastAsia" w:ascii="宋体" w:hAnsi="宋体"/>
                <w:b/>
                <w:sz w:val="22"/>
                <w:szCs w:val="22"/>
              </w:rPr>
              <w:t>，</w:t>
            </w:r>
            <w:r>
              <w:rPr>
                <w:rFonts w:hint="eastAsia" w:ascii="宋体" w:hAnsi="宋体"/>
                <w:b/>
                <w:sz w:val="22"/>
                <w:szCs w:val="22"/>
                <w:lang w:eastAsia="zh-CN"/>
              </w:rPr>
              <w:t>投标地点：</w:t>
            </w:r>
            <w:r>
              <w:rPr>
                <w:rFonts w:hint="eastAsia" w:ascii="宋体" w:hAnsi="宋体"/>
                <w:b/>
                <w:sz w:val="22"/>
                <w:szCs w:val="22"/>
                <w:u w:val="single"/>
              </w:rPr>
              <w:t>南宁市教育路7号广西艺术学院雕塑楼</w:t>
            </w:r>
            <w:r>
              <w:rPr>
                <w:rFonts w:hint="eastAsia" w:ascii="宋体" w:hAnsi="宋体"/>
                <w:b/>
                <w:sz w:val="22"/>
                <w:szCs w:val="22"/>
                <w:u w:val="single"/>
                <w:lang w:eastAsia="zh-CN"/>
              </w:rPr>
              <w:t>财务资产处采购管理科</w:t>
            </w:r>
            <w:r>
              <w:rPr>
                <w:rFonts w:hint="eastAsia" w:ascii="宋体" w:hAnsi="宋体"/>
                <w:b/>
                <w:sz w:val="22"/>
                <w:szCs w:val="22"/>
                <w:u w:val="single"/>
                <w:lang w:val="en-US" w:eastAsia="zh-CN"/>
              </w:rPr>
              <w:t>107</w:t>
            </w:r>
            <w:r>
              <w:rPr>
                <w:rFonts w:hint="eastAsia" w:ascii="宋体" w:hAnsi="宋体"/>
                <w:b/>
                <w:sz w:val="22"/>
                <w:szCs w:val="22"/>
                <w:u w:val="single"/>
              </w:rPr>
              <w:t>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9</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开标时间及地点：</w:t>
            </w:r>
            <w:r>
              <w:rPr>
                <w:rFonts w:ascii="宋体" w:hAnsi="宋体"/>
                <w:b/>
                <w:color w:val="FF0000"/>
                <w:sz w:val="22"/>
                <w:szCs w:val="22"/>
              </w:rPr>
              <w:t>2020年11月</w:t>
            </w:r>
            <w:r>
              <w:rPr>
                <w:rFonts w:hint="eastAsia" w:ascii="宋体" w:hAnsi="宋体"/>
                <w:b/>
                <w:color w:val="FF0000"/>
                <w:sz w:val="22"/>
                <w:szCs w:val="22"/>
                <w:lang w:val="en-US" w:eastAsia="zh-CN"/>
              </w:rPr>
              <w:t>20</w:t>
            </w:r>
            <w:r>
              <w:rPr>
                <w:rFonts w:hint="eastAsia" w:ascii="宋体" w:hAnsi="宋体"/>
                <w:b/>
                <w:color w:val="FF0000"/>
                <w:sz w:val="22"/>
                <w:szCs w:val="22"/>
              </w:rPr>
              <w:t>日上午</w:t>
            </w:r>
            <w:r>
              <w:rPr>
                <w:rFonts w:ascii="宋体" w:hAnsi="宋体"/>
                <w:b/>
                <w:color w:val="FF0000"/>
                <w:sz w:val="22"/>
                <w:szCs w:val="22"/>
              </w:rPr>
              <w:t>9</w:t>
            </w:r>
            <w:r>
              <w:rPr>
                <w:rFonts w:hint="eastAsia" w:ascii="宋体" w:hAnsi="宋体"/>
                <w:b/>
                <w:color w:val="FF0000"/>
                <w:sz w:val="22"/>
                <w:szCs w:val="22"/>
              </w:rPr>
              <w:t>时</w:t>
            </w:r>
            <w:r>
              <w:rPr>
                <w:rFonts w:ascii="宋体" w:hAnsi="宋体"/>
                <w:b/>
                <w:color w:val="FF0000"/>
                <w:sz w:val="22"/>
                <w:szCs w:val="22"/>
              </w:rPr>
              <w:t>30</w:t>
            </w:r>
            <w:r>
              <w:rPr>
                <w:rFonts w:hint="eastAsia" w:ascii="宋体" w:hAnsi="宋体"/>
                <w:b/>
                <w:color w:val="FF0000"/>
                <w:sz w:val="22"/>
                <w:szCs w:val="22"/>
              </w:rPr>
              <w:t>分</w:t>
            </w:r>
            <w:r>
              <w:rPr>
                <w:rFonts w:hint="eastAsia" w:ascii="宋体" w:hAnsi="宋体"/>
                <w:b/>
                <w:sz w:val="22"/>
                <w:szCs w:val="22"/>
              </w:rPr>
              <w:t>，</w:t>
            </w:r>
            <w:r>
              <w:rPr>
                <w:rFonts w:hint="eastAsia" w:ascii="宋体" w:hAnsi="宋体"/>
                <w:b/>
                <w:sz w:val="22"/>
                <w:szCs w:val="22"/>
                <w:u w:val="single"/>
              </w:rPr>
              <w:t>南宁市教育路7号广西艺术学院雕塑楼</w:t>
            </w:r>
            <w:r>
              <w:rPr>
                <w:rFonts w:hint="eastAsia" w:ascii="宋体" w:hAnsi="宋体"/>
                <w:b/>
                <w:sz w:val="22"/>
                <w:szCs w:val="22"/>
                <w:u w:val="single"/>
                <w:lang w:eastAsia="zh-CN"/>
              </w:rPr>
              <w:t>财务资产处采购管理科</w:t>
            </w:r>
            <w:r>
              <w:rPr>
                <w:rFonts w:hint="eastAsia" w:ascii="宋体" w:hAnsi="宋体"/>
                <w:b/>
                <w:sz w:val="22"/>
                <w:szCs w:val="22"/>
                <w:u w:val="single"/>
                <w:lang w:val="en-US" w:eastAsia="zh-CN"/>
              </w:rPr>
              <w:t>107室</w:t>
            </w:r>
            <w:r>
              <w:rPr>
                <w:rFonts w:hint="eastAsia" w:ascii="宋体" w:hAnsi="宋体"/>
                <w:b/>
                <w:sz w:val="22"/>
                <w:szCs w:val="22"/>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10</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评标办法及评分标准：</w:t>
            </w:r>
            <w:r>
              <w:rPr>
                <w:rFonts w:hint="eastAsia" w:ascii="宋体" w:hAnsi="宋体" w:cs="Arial"/>
                <w:b/>
                <w:sz w:val="22"/>
                <w:szCs w:val="22"/>
              </w:rPr>
              <w:t>在投标文件中技术响应、商务响应无偏离的条件下，采取低价中标方式选定该项目中标单位，若价格相同，则采取抽签方式确定中标单位。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11</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中标公告及中标通知书：本中心在采购人依法确认中标人后</w:t>
            </w:r>
            <w:r>
              <w:rPr>
                <w:rFonts w:ascii="宋体" w:hAnsi="宋体"/>
                <w:sz w:val="22"/>
                <w:szCs w:val="22"/>
              </w:rPr>
              <w:t>2</w:t>
            </w:r>
            <w:r>
              <w:rPr>
                <w:rFonts w:hint="eastAsia" w:ascii="宋体" w:hAnsi="宋体"/>
                <w:sz w:val="22"/>
                <w:szCs w:val="22"/>
              </w:rPr>
              <w:t>个工作日内发布中标公告和中标通知书，中标公告发布于上述媒体</w:t>
            </w:r>
            <w:r>
              <w:rPr>
                <w:rFonts w:hint="eastAsia" w:ascii="宋体" w:hAnsi="宋体" w:cs="Courier New"/>
                <w:sz w:val="22"/>
                <w:szCs w:val="22"/>
              </w:rPr>
              <w:t>（详细见公告中公布的网站）</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12</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投标保证金退还（不计息）：无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13</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签订合同时间：中标通知书发出后十日内。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14</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15</w:t>
            </w:r>
          </w:p>
        </w:tc>
        <w:tc>
          <w:tcPr>
            <w:tcW w:w="8820" w:type="dxa"/>
            <w:tcBorders>
              <w:top w:val="single" w:color="auto" w:sz="4" w:space="0"/>
              <w:left w:val="single" w:color="auto" w:sz="4" w:space="0"/>
              <w:bottom w:val="single" w:color="auto" w:sz="4" w:space="0"/>
            </w:tcBorders>
            <w:vAlign w:val="center"/>
          </w:tcPr>
          <w:p>
            <w:pPr>
              <w:autoSpaceDE w:val="0"/>
              <w:autoSpaceDN w:val="0"/>
              <w:snapToGrid w:val="0"/>
              <w:spacing w:line="360" w:lineRule="exact"/>
              <w:textAlignment w:val="bottom"/>
              <w:rPr>
                <w:rFonts w:ascii="宋体"/>
                <w:sz w:val="22"/>
                <w:szCs w:val="22"/>
              </w:rPr>
            </w:pPr>
            <w:r>
              <w:rPr>
                <w:rFonts w:hint="eastAsia" w:ascii="宋体" w:hAnsi="宋体"/>
                <w:sz w:val="22"/>
                <w:szCs w:val="22"/>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16</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投标文件有效期：</w:t>
            </w:r>
            <w:r>
              <w:rPr>
                <w:rFonts w:ascii="宋体" w:hAnsi="宋体" w:cs="Arial"/>
                <w:sz w:val="22"/>
                <w:szCs w:val="22"/>
                <w:u w:val="single"/>
              </w:rPr>
              <w:t xml:space="preserve"> 60 </w:t>
            </w:r>
            <w:r>
              <w:rPr>
                <w:rFonts w:hint="eastAsia" w:ascii="宋体" w:hAnsi="宋体" w:cs="Arial"/>
                <w:sz w:val="22"/>
                <w:szCs w:val="22"/>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48" w:type="dxa"/>
            <w:tcBorders>
              <w:top w:val="single" w:color="auto" w:sz="4" w:space="0"/>
              <w:bottom w:val="single" w:color="auto" w:sz="4" w:space="0"/>
              <w:right w:val="single" w:color="auto" w:sz="4" w:space="0"/>
            </w:tcBorders>
            <w:vAlign w:val="center"/>
          </w:tcPr>
          <w:p>
            <w:pPr>
              <w:snapToGrid w:val="0"/>
              <w:spacing w:line="360" w:lineRule="exact"/>
              <w:jc w:val="center"/>
              <w:rPr>
                <w:rFonts w:ascii="宋体"/>
                <w:sz w:val="22"/>
                <w:szCs w:val="22"/>
              </w:rPr>
            </w:pPr>
            <w:r>
              <w:rPr>
                <w:rFonts w:ascii="宋体" w:hAnsi="宋体"/>
                <w:sz w:val="22"/>
                <w:szCs w:val="22"/>
              </w:rPr>
              <w:t>18</w:t>
            </w:r>
          </w:p>
        </w:tc>
        <w:tc>
          <w:tcPr>
            <w:tcW w:w="8820" w:type="dxa"/>
            <w:tcBorders>
              <w:top w:val="single" w:color="auto" w:sz="4" w:space="0"/>
              <w:left w:val="single" w:color="auto" w:sz="4" w:space="0"/>
              <w:bottom w:val="single" w:color="auto" w:sz="4" w:space="0"/>
            </w:tcBorders>
            <w:vAlign w:val="center"/>
          </w:tcPr>
          <w:p>
            <w:pPr>
              <w:snapToGrid w:val="0"/>
              <w:spacing w:line="360" w:lineRule="exact"/>
              <w:rPr>
                <w:rFonts w:ascii="宋体"/>
                <w:sz w:val="22"/>
                <w:szCs w:val="22"/>
              </w:rPr>
            </w:pPr>
            <w:r>
              <w:rPr>
                <w:rFonts w:hint="eastAsia" w:ascii="宋体" w:hAnsi="宋体"/>
                <w:sz w:val="22"/>
                <w:szCs w:val="22"/>
              </w:rPr>
              <w:t>本招标文件解释权属广西艺术学院。</w:t>
            </w:r>
          </w:p>
        </w:tc>
      </w:tr>
    </w:tbl>
    <w:p>
      <w:pPr>
        <w:pStyle w:val="4"/>
        <w:snapToGrid w:val="0"/>
        <w:spacing w:before="120" w:after="120" w:line="440" w:lineRule="exact"/>
        <w:rPr>
          <w:rFonts w:hAnsi="宋体"/>
          <w:b/>
          <w:sz w:val="22"/>
          <w:szCs w:val="22"/>
        </w:rPr>
      </w:pPr>
      <w:r>
        <w:rPr>
          <w:rFonts w:hAnsi="宋体"/>
          <w:b/>
          <w:sz w:val="22"/>
          <w:szCs w:val="22"/>
        </w:rPr>
        <w:br w:type="page"/>
      </w:r>
      <w:r>
        <w:rPr>
          <w:rFonts w:hint="eastAsia" w:hAnsi="宋体"/>
          <w:b/>
          <w:sz w:val="22"/>
          <w:szCs w:val="22"/>
        </w:rPr>
        <w:t>一、总</w:t>
      </w:r>
      <w:r>
        <w:rPr>
          <w:rFonts w:hAnsi="宋体"/>
          <w:b/>
          <w:sz w:val="22"/>
          <w:szCs w:val="22"/>
        </w:rPr>
        <w:t xml:space="preserve">  </w:t>
      </w:r>
      <w:r>
        <w:rPr>
          <w:rFonts w:hint="eastAsia" w:hAnsi="宋体"/>
          <w:b/>
          <w:sz w:val="22"/>
          <w:szCs w:val="22"/>
        </w:rPr>
        <w:t>则</w:t>
      </w:r>
    </w:p>
    <w:p>
      <w:pPr>
        <w:snapToGrid w:val="0"/>
        <w:spacing w:line="440" w:lineRule="exact"/>
        <w:ind w:firstLine="433" w:firstLineChars="196"/>
        <w:jc w:val="left"/>
        <w:outlineLvl w:val="1"/>
        <w:rPr>
          <w:rFonts w:ascii="宋体"/>
          <w:b/>
          <w:sz w:val="22"/>
          <w:szCs w:val="22"/>
        </w:rPr>
      </w:pPr>
      <w:bookmarkStart w:id="65" w:name="_Toc254970668"/>
      <w:bookmarkStart w:id="66" w:name="_Toc254970527"/>
      <w:r>
        <w:rPr>
          <w:rFonts w:hint="eastAsia" w:ascii="宋体" w:hAnsi="宋体"/>
          <w:b/>
          <w:sz w:val="22"/>
          <w:szCs w:val="22"/>
        </w:rPr>
        <w:t>（一）</w:t>
      </w:r>
      <w:r>
        <w:rPr>
          <w:rFonts w:ascii="宋体" w:hAnsi="宋体"/>
          <w:b/>
          <w:sz w:val="22"/>
          <w:szCs w:val="22"/>
        </w:rPr>
        <w:t xml:space="preserve"> </w:t>
      </w:r>
      <w:r>
        <w:rPr>
          <w:rFonts w:hint="eastAsia" w:ascii="宋体" w:hAnsi="宋体"/>
          <w:b/>
          <w:sz w:val="22"/>
          <w:szCs w:val="22"/>
        </w:rPr>
        <w:t>适用范围</w:t>
      </w:r>
      <w:bookmarkEnd w:id="65"/>
      <w:bookmarkEnd w:id="66"/>
    </w:p>
    <w:p>
      <w:pPr>
        <w:snapToGrid w:val="0"/>
        <w:spacing w:line="440" w:lineRule="exact"/>
        <w:ind w:firstLine="440" w:firstLineChars="200"/>
        <w:jc w:val="left"/>
        <w:rPr>
          <w:rFonts w:ascii="宋体"/>
          <w:sz w:val="22"/>
          <w:szCs w:val="22"/>
        </w:rPr>
      </w:pPr>
      <w:r>
        <w:rPr>
          <w:rFonts w:hint="eastAsia" w:ascii="宋体" w:hAnsi="宋体"/>
          <w:bCs/>
          <w:sz w:val="22"/>
          <w:szCs w:val="22"/>
        </w:rPr>
        <w:t>本</w:t>
      </w:r>
      <w:r>
        <w:rPr>
          <w:rFonts w:hint="eastAsia" w:ascii="宋体" w:hAnsi="宋体"/>
          <w:sz w:val="22"/>
          <w:szCs w:val="22"/>
        </w:rPr>
        <w:t>招标</w:t>
      </w:r>
      <w:r>
        <w:rPr>
          <w:rFonts w:hint="eastAsia" w:ascii="宋体" w:hAnsi="宋体"/>
          <w:bCs/>
          <w:sz w:val="22"/>
          <w:szCs w:val="22"/>
        </w:rPr>
        <w:t>文件仅适用于本文件中所叙述的广西艺术学院院内采购项目。</w:t>
      </w:r>
    </w:p>
    <w:p>
      <w:pPr>
        <w:snapToGrid w:val="0"/>
        <w:spacing w:before="120" w:beforeLines="50" w:line="440" w:lineRule="exact"/>
        <w:ind w:firstLine="325" w:firstLineChars="147"/>
        <w:jc w:val="left"/>
        <w:outlineLvl w:val="1"/>
        <w:rPr>
          <w:rFonts w:ascii="宋体"/>
          <w:b/>
          <w:sz w:val="22"/>
          <w:szCs w:val="22"/>
        </w:rPr>
      </w:pPr>
      <w:bookmarkStart w:id="67" w:name="_Toc254970669"/>
      <w:bookmarkStart w:id="68" w:name="_Toc254970528"/>
      <w:r>
        <w:rPr>
          <w:rFonts w:hint="eastAsia" w:ascii="宋体" w:hAnsi="宋体"/>
          <w:b/>
          <w:sz w:val="22"/>
          <w:szCs w:val="22"/>
        </w:rPr>
        <w:t>（二）定义</w:t>
      </w:r>
      <w:bookmarkEnd w:id="67"/>
      <w:bookmarkEnd w:id="68"/>
    </w:p>
    <w:p>
      <w:pPr>
        <w:snapToGrid w:val="0"/>
        <w:spacing w:line="440" w:lineRule="exact"/>
        <w:ind w:firstLine="440" w:firstLineChars="200"/>
        <w:jc w:val="left"/>
        <w:rPr>
          <w:rFonts w:ascii="宋体"/>
          <w:sz w:val="22"/>
          <w:szCs w:val="22"/>
        </w:rPr>
      </w:pPr>
      <w:r>
        <w:rPr>
          <w:rFonts w:ascii="宋体" w:hAnsi="宋体"/>
          <w:sz w:val="22"/>
          <w:szCs w:val="22"/>
        </w:rPr>
        <w:t>1.</w:t>
      </w:r>
      <w:r>
        <w:rPr>
          <w:rFonts w:hint="eastAsia" w:ascii="宋体" w:hAnsi="宋体"/>
          <w:sz w:val="22"/>
          <w:szCs w:val="22"/>
        </w:rPr>
        <w:t>招标采购单位系指组织本次招标的采购人。</w:t>
      </w:r>
    </w:p>
    <w:p>
      <w:pPr>
        <w:snapToGrid w:val="0"/>
        <w:spacing w:line="440" w:lineRule="exact"/>
        <w:ind w:firstLine="440" w:firstLineChars="200"/>
        <w:jc w:val="left"/>
        <w:rPr>
          <w:rFonts w:ascii="宋体"/>
          <w:sz w:val="22"/>
          <w:szCs w:val="22"/>
        </w:rPr>
      </w:pPr>
      <w:r>
        <w:rPr>
          <w:rFonts w:ascii="宋体" w:hAnsi="宋体"/>
          <w:sz w:val="22"/>
          <w:szCs w:val="22"/>
        </w:rPr>
        <w:t>2.</w:t>
      </w:r>
      <w:r>
        <w:rPr>
          <w:rFonts w:hint="eastAsia" w:ascii="宋体" w:hAnsi="宋体"/>
          <w:sz w:val="22"/>
          <w:szCs w:val="22"/>
        </w:rPr>
        <w:t>“投标人”系指向招标方提交投标文件的单位或自然人。</w:t>
      </w:r>
    </w:p>
    <w:p>
      <w:pPr>
        <w:snapToGrid w:val="0"/>
        <w:spacing w:line="440" w:lineRule="exact"/>
        <w:ind w:firstLine="440" w:firstLineChars="200"/>
        <w:jc w:val="left"/>
        <w:rPr>
          <w:rFonts w:ascii="宋体"/>
          <w:sz w:val="22"/>
          <w:szCs w:val="22"/>
        </w:rPr>
      </w:pPr>
      <w:r>
        <w:rPr>
          <w:rFonts w:ascii="宋体" w:hAnsi="宋体"/>
          <w:sz w:val="22"/>
          <w:szCs w:val="22"/>
        </w:rPr>
        <w:t>3.</w:t>
      </w:r>
      <w:r>
        <w:rPr>
          <w:rFonts w:hint="eastAsia" w:ascii="宋体" w:hAnsi="宋体"/>
          <w:sz w:val="22"/>
          <w:szCs w:val="22"/>
        </w:rPr>
        <w:t>“产品”系指供方按招标文件规定，须向采购人提供的一切设备、保险、税金、备品备件、工具、手册及其它有关技术资料和材料。</w:t>
      </w:r>
    </w:p>
    <w:p>
      <w:pPr>
        <w:snapToGrid w:val="0"/>
        <w:spacing w:line="440" w:lineRule="exact"/>
        <w:ind w:firstLine="440" w:firstLineChars="200"/>
        <w:jc w:val="left"/>
        <w:rPr>
          <w:rFonts w:ascii="宋体"/>
          <w:sz w:val="22"/>
          <w:szCs w:val="22"/>
        </w:rPr>
      </w:pPr>
      <w:r>
        <w:rPr>
          <w:rFonts w:ascii="宋体" w:hAnsi="宋体"/>
          <w:sz w:val="22"/>
          <w:szCs w:val="22"/>
        </w:rPr>
        <w:t>4.</w:t>
      </w:r>
      <w:r>
        <w:rPr>
          <w:rFonts w:hint="eastAsia" w:ascii="宋体" w:hAnsi="宋体"/>
          <w:sz w:val="22"/>
          <w:szCs w:val="22"/>
        </w:rPr>
        <w:t>“服务”系指招标文件规定投标人须承担的安装、调试、技术协助、校准、培训、技术指导以及其他类似的义务。</w:t>
      </w:r>
    </w:p>
    <w:p>
      <w:pPr>
        <w:snapToGrid w:val="0"/>
        <w:spacing w:line="440" w:lineRule="exact"/>
        <w:ind w:firstLine="440" w:firstLineChars="200"/>
        <w:jc w:val="left"/>
        <w:rPr>
          <w:rFonts w:ascii="宋体"/>
          <w:sz w:val="22"/>
          <w:szCs w:val="22"/>
        </w:rPr>
      </w:pPr>
      <w:r>
        <w:rPr>
          <w:rFonts w:ascii="宋体" w:hAnsi="宋体"/>
          <w:sz w:val="22"/>
          <w:szCs w:val="22"/>
        </w:rPr>
        <w:t>5.</w:t>
      </w:r>
      <w:r>
        <w:rPr>
          <w:rFonts w:hint="eastAsia" w:ascii="宋体" w:hAnsi="宋体"/>
          <w:sz w:val="22"/>
          <w:szCs w:val="22"/>
        </w:rPr>
        <w:t>“项目”系指投标人按招标文件规定向采购人提供的产品和服务。</w:t>
      </w:r>
    </w:p>
    <w:p>
      <w:pPr>
        <w:snapToGrid w:val="0"/>
        <w:spacing w:line="440" w:lineRule="exact"/>
        <w:ind w:firstLine="440" w:firstLineChars="200"/>
        <w:jc w:val="left"/>
        <w:rPr>
          <w:rFonts w:ascii="宋体"/>
          <w:sz w:val="22"/>
          <w:szCs w:val="22"/>
        </w:rPr>
      </w:pPr>
      <w:r>
        <w:rPr>
          <w:rFonts w:ascii="宋体" w:hAnsi="宋体"/>
          <w:sz w:val="22"/>
          <w:szCs w:val="22"/>
        </w:rPr>
        <w:t>6.</w:t>
      </w:r>
      <w:r>
        <w:rPr>
          <w:rFonts w:hint="eastAsia" w:ascii="宋体" w:hAnsi="宋体"/>
          <w:sz w:val="22"/>
          <w:szCs w:val="22"/>
        </w:rPr>
        <w:t>“书面形式”包括信函、传真、电报等。</w:t>
      </w:r>
    </w:p>
    <w:p>
      <w:pPr>
        <w:snapToGrid w:val="0"/>
        <w:spacing w:before="120" w:beforeLines="50" w:line="440" w:lineRule="exact"/>
        <w:ind w:firstLine="433" w:firstLineChars="196"/>
        <w:jc w:val="left"/>
        <w:outlineLvl w:val="1"/>
        <w:rPr>
          <w:rFonts w:ascii="宋体"/>
          <w:b/>
          <w:sz w:val="22"/>
          <w:szCs w:val="22"/>
        </w:rPr>
      </w:pPr>
      <w:bookmarkStart w:id="69" w:name="_Toc254970529"/>
      <w:bookmarkStart w:id="70" w:name="_Toc254970670"/>
      <w:r>
        <w:rPr>
          <w:rFonts w:hint="eastAsia" w:ascii="宋体" w:hAnsi="宋体"/>
          <w:b/>
          <w:sz w:val="22"/>
          <w:szCs w:val="22"/>
        </w:rPr>
        <w:t>（三）招标方式</w:t>
      </w:r>
      <w:bookmarkEnd w:id="69"/>
      <w:bookmarkEnd w:id="70"/>
    </w:p>
    <w:p>
      <w:pPr>
        <w:snapToGrid w:val="0"/>
        <w:spacing w:line="440" w:lineRule="exact"/>
        <w:ind w:firstLine="440" w:firstLineChars="200"/>
        <w:jc w:val="left"/>
        <w:rPr>
          <w:rFonts w:ascii="宋体"/>
          <w:sz w:val="22"/>
          <w:szCs w:val="22"/>
        </w:rPr>
      </w:pPr>
      <w:r>
        <w:rPr>
          <w:rFonts w:hint="eastAsia" w:ascii="宋体" w:hAnsi="宋体"/>
          <w:sz w:val="22"/>
          <w:szCs w:val="22"/>
        </w:rPr>
        <w:t>公开招标方式。</w:t>
      </w:r>
    </w:p>
    <w:p>
      <w:pPr>
        <w:snapToGrid w:val="0"/>
        <w:spacing w:before="120" w:beforeLines="50" w:line="440" w:lineRule="exact"/>
        <w:ind w:firstLine="433" w:firstLineChars="196"/>
        <w:jc w:val="left"/>
        <w:outlineLvl w:val="1"/>
        <w:rPr>
          <w:rFonts w:ascii="宋体"/>
          <w:b/>
          <w:sz w:val="22"/>
          <w:szCs w:val="22"/>
        </w:rPr>
      </w:pPr>
      <w:bookmarkStart w:id="71" w:name="_Toc254970671"/>
      <w:bookmarkStart w:id="72" w:name="_Toc254970530"/>
      <w:r>
        <w:rPr>
          <w:rFonts w:hint="eastAsia" w:ascii="宋体" w:hAnsi="宋体"/>
          <w:b/>
          <w:sz w:val="22"/>
          <w:szCs w:val="22"/>
        </w:rPr>
        <w:t>（四）投标委托</w:t>
      </w:r>
      <w:bookmarkEnd w:id="71"/>
      <w:bookmarkEnd w:id="72"/>
    </w:p>
    <w:p>
      <w:pPr>
        <w:pStyle w:val="3"/>
        <w:snapToGrid w:val="0"/>
        <w:spacing w:line="440" w:lineRule="exact"/>
        <w:ind w:firstLine="440" w:firstLineChars="200"/>
        <w:jc w:val="left"/>
        <w:rPr>
          <w:rFonts w:ascii="宋体" w:hAnsi="宋体" w:eastAsia="宋体"/>
          <w:sz w:val="22"/>
          <w:szCs w:val="22"/>
        </w:rPr>
      </w:pPr>
      <w:r>
        <w:rPr>
          <w:rFonts w:hint="eastAsia" w:ascii="宋体" w:hAnsi="宋体" w:eastAsia="宋体"/>
          <w:sz w:val="22"/>
          <w:szCs w:val="22"/>
        </w:rPr>
        <w:t>投标人代表须携带有效身份证件。如投标人代表不是法定代表人，须有法定代表人出具的授权委托书（正本用原件，副本用复印件，格式见第六章）。</w:t>
      </w:r>
    </w:p>
    <w:p>
      <w:pPr>
        <w:snapToGrid w:val="0"/>
        <w:spacing w:before="120" w:beforeLines="50" w:line="440" w:lineRule="exact"/>
        <w:ind w:firstLine="433" w:firstLineChars="196"/>
        <w:jc w:val="left"/>
        <w:outlineLvl w:val="1"/>
        <w:rPr>
          <w:rFonts w:ascii="宋体"/>
          <w:b/>
          <w:sz w:val="22"/>
          <w:szCs w:val="22"/>
        </w:rPr>
      </w:pPr>
      <w:bookmarkStart w:id="73" w:name="_Toc254970672"/>
      <w:bookmarkStart w:id="74" w:name="_Toc254970531"/>
      <w:r>
        <w:rPr>
          <w:rFonts w:hint="eastAsia" w:ascii="宋体" w:hAnsi="宋体"/>
          <w:b/>
          <w:sz w:val="22"/>
          <w:szCs w:val="22"/>
        </w:rPr>
        <w:t>（五）投标费用</w:t>
      </w:r>
      <w:bookmarkEnd w:id="73"/>
      <w:bookmarkEnd w:id="74"/>
    </w:p>
    <w:p>
      <w:pPr>
        <w:snapToGrid w:val="0"/>
        <w:spacing w:line="440" w:lineRule="exact"/>
        <w:ind w:firstLine="440" w:firstLineChars="200"/>
        <w:jc w:val="left"/>
        <w:rPr>
          <w:rFonts w:ascii="宋体"/>
          <w:sz w:val="22"/>
          <w:szCs w:val="22"/>
        </w:rPr>
      </w:pPr>
      <w:r>
        <w:rPr>
          <w:rFonts w:hint="eastAsia" w:ascii="宋体" w:hAnsi="宋体"/>
          <w:sz w:val="22"/>
          <w:szCs w:val="22"/>
        </w:rPr>
        <w:t>投标人均应自行承担所有与投标有关的全部费用（招标文件有相关的规定除外）。</w:t>
      </w:r>
    </w:p>
    <w:p>
      <w:pPr>
        <w:snapToGrid w:val="0"/>
        <w:spacing w:before="120" w:beforeLines="50" w:line="440" w:lineRule="exact"/>
        <w:ind w:firstLine="433" w:firstLineChars="196"/>
        <w:jc w:val="left"/>
        <w:rPr>
          <w:rFonts w:ascii="宋体"/>
          <w:b/>
          <w:sz w:val="22"/>
          <w:szCs w:val="22"/>
        </w:rPr>
      </w:pPr>
      <w:r>
        <w:rPr>
          <w:rFonts w:hint="eastAsia" w:ascii="宋体" w:hAnsi="宋体"/>
          <w:b/>
          <w:sz w:val="22"/>
          <w:szCs w:val="22"/>
        </w:rPr>
        <w:t>（六）联合体投标</w:t>
      </w:r>
    </w:p>
    <w:p>
      <w:pPr>
        <w:snapToGrid w:val="0"/>
        <w:spacing w:line="440" w:lineRule="exact"/>
        <w:ind w:firstLine="440" w:firstLineChars="200"/>
        <w:jc w:val="left"/>
        <w:rPr>
          <w:rFonts w:ascii="宋体"/>
          <w:sz w:val="22"/>
          <w:szCs w:val="22"/>
        </w:rPr>
      </w:pPr>
      <w:r>
        <w:rPr>
          <w:rFonts w:hint="eastAsia" w:ascii="宋体" w:hAnsi="宋体"/>
          <w:sz w:val="22"/>
          <w:szCs w:val="22"/>
        </w:rPr>
        <w:t>联合体投标要求：</w:t>
      </w:r>
    </w:p>
    <w:p>
      <w:pPr>
        <w:spacing w:line="440" w:lineRule="exact"/>
        <w:ind w:firstLine="495" w:firstLineChars="225"/>
        <w:rPr>
          <w:rFonts w:ascii="宋体"/>
          <w:sz w:val="22"/>
          <w:szCs w:val="22"/>
        </w:rPr>
      </w:pPr>
      <w:r>
        <w:rPr>
          <w:rFonts w:hint="eastAsia" w:ascii="宋体" w:hAnsi="宋体"/>
          <w:sz w:val="22"/>
          <w:szCs w:val="22"/>
        </w:rPr>
        <w:t>⑴两个以上供应商可以组成一个竞标联合体，以一个投标人的身份竞标。</w:t>
      </w:r>
    </w:p>
    <w:p>
      <w:pPr>
        <w:spacing w:line="440" w:lineRule="exact"/>
        <w:ind w:firstLine="495" w:firstLineChars="225"/>
        <w:rPr>
          <w:rFonts w:ascii="宋体"/>
          <w:sz w:val="22"/>
          <w:szCs w:val="22"/>
        </w:rPr>
      </w:pPr>
      <w:r>
        <w:rPr>
          <w:rFonts w:hint="eastAsia" w:ascii="宋体" w:hAnsi="宋体"/>
          <w:sz w:val="22"/>
          <w:szCs w:val="22"/>
        </w:rPr>
        <w:t>⑵以联合体形式参加投标的，联合体各方均应当符合“具有独立承担民事责任的能力”的条件。本项目有特殊要求规定竞标人特定条件的，联合体各方中至少应当有一方符合招标文件规定的特定条件。</w:t>
      </w:r>
    </w:p>
    <w:p>
      <w:pPr>
        <w:spacing w:line="440" w:lineRule="exact"/>
        <w:ind w:firstLine="495" w:firstLineChars="225"/>
        <w:rPr>
          <w:rFonts w:ascii="宋体"/>
          <w:sz w:val="22"/>
          <w:szCs w:val="22"/>
        </w:rPr>
      </w:pPr>
      <w:r>
        <w:rPr>
          <w:rFonts w:hint="eastAsia" w:ascii="宋体" w:hAnsi="宋体"/>
          <w:sz w:val="22"/>
          <w:szCs w:val="22"/>
        </w:rPr>
        <w:t>⑶联合体各方之间应当签订共同投标协议，明确约定联合体各方承担的工作和相应的责任，并将共同投标协议连同竞标文件一并提交本采购代理机构。联合体各方签订共同投标协议后，不得再以自己名义单独在同一项目中投标，也不得组成新的联合体参加同一项目投标。否则，与之相关的投标文件作废。</w:t>
      </w:r>
    </w:p>
    <w:p>
      <w:pPr>
        <w:spacing w:line="440" w:lineRule="exact"/>
        <w:ind w:firstLine="495" w:firstLineChars="225"/>
        <w:rPr>
          <w:rFonts w:ascii="宋体"/>
          <w:sz w:val="22"/>
          <w:szCs w:val="22"/>
        </w:rPr>
      </w:pPr>
      <w:r>
        <w:rPr>
          <w:rFonts w:hint="eastAsia" w:ascii="宋体" w:hAnsi="宋体"/>
          <w:sz w:val="22"/>
          <w:szCs w:val="22"/>
        </w:rPr>
        <w:t>⑷投标联合体的业绩和信誉按联合体主体方（或牵头方）计算。</w:t>
      </w:r>
    </w:p>
    <w:p>
      <w:pPr>
        <w:spacing w:line="440" w:lineRule="exact"/>
        <w:ind w:firstLine="495" w:firstLineChars="225"/>
        <w:rPr>
          <w:rFonts w:ascii="宋体"/>
          <w:sz w:val="22"/>
          <w:szCs w:val="22"/>
        </w:rPr>
      </w:pPr>
      <w:r>
        <w:rPr>
          <w:rFonts w:hint="eastAsia" w:ascii="宋体" w:hAnsi="宋体"/>
          <w:sz w:val="22"/>
          <w:szCs w:val="22"/>
        </w:rPr>
        <w:t>⑸投标联合体投标人的相同资质按最低的一方计算</w:t>
      </w:r>
    </w:p>
    <w:p>
      <w:pPr>
        <w:snapToGrid w:val="0"/>
        <w:spacing w:line="440" w:lineRule="exact"/>
        <w:ind w:firstLine="440" w:firstLineChars="200"/>
        <w:jc w:val="left"/>
        <w:rPr>
          <w:rFonts w:ascii="宋体"/>
          <w:sz w:val="22"/>
          <w:szCs w:val="22"/>
        </w:rPr>
      </w:pPr>
      <w:r>
        <w:rPr>
          <w:rFonts w:hint="eastAsia" w:ascii="宋体" w:hAnsi="宋体"/>
          <w:sz w:val="22"/>
          <w:szCs w:val="22"/>
        </w:rPr>
        <w:t>联合体各方中至少有一方符合本文件规定的特定资质条件。但同一专业的投标人组成的联合体应以资质最低的一方为依据。联合体投标的，须提供《联合投标协议书》，格式见附件。）</w:t>
      </w:r>
    </w:p>
    <w:p>
      <w:pPr>
        <w:snapToGrid w:val="0"/>
        <w:spacing w:before="120" w:beforeLines="50" w:line="440" w:lineRule="exact"/>
        <w:ind w:firstLine="433" w:firstLineChars="196"/>
        <w:rPr>
          <w:rFonts w:ascii="宋体" w:cs="宋体"/>
          <w:b/>
          <w:kern w:val="0"/>
          <w:sz w:val="22"/>
          <w:szCs w:val="22"/>
        </w:rPr>
      </w:pPr>
      <w:r>
        <w:rPr>
          <w:rFonts w:hint="eastAsia" w:ascii="宋体" w:hAnsi="宋体"/>
          <w:b/>
          <w:sz w:val="22"/>
          <w:szCs w:val="22"/>
        </w:rPr>
        <w:t>（七）</w:t>
      </w:r>
      <w:r>
        <w:rPr>
          <w:rFonts w:hint="eastAsia" w:ascii="宋体" w:hAnsi="宋体" w:cs="宋体"/>
          <w:b/>
          <w:kern w:val="0"/>
          <w:sz w:val="22"/>
          <w:szCs w:val="22"/>
        </w:rPr>
        <w:t>转包与分包</w:t>
      </w:r>
    </w:p>
    <w:p>
      <w:pPr>
        <w:snapToGrid w:val="0"/>
        <w:spacing w:line="440" w:lineRule="exact"/>
        <w:ind w:firstLine="440" w:firstLineChars="200"/>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本项目不允许转包。</w:t>
      </w:r>
    </w:p>
    <w:p>
      <w:pPr>
        <w:snapToGrid w:val="0"/>
        <w:spacing w:line="440" w:lineRule="exact"/>
        <w:ind w:firstLine="440" w:firstLineChars="200"/>
        <w:rPr>
          <w:rFonts w:ascii="宋体"/>
          <w:sz w:val="22"/>
          <w:szCs w:val="22"/>
        </w:rPr>
      </w:pPr>
      <w:r>
        <w:rPr>
          <w:rFonts w:ascii="宋体" w:hAnsi="宋体" w:cs="宋体"/>
          <w:kern w:val="0"/>
          <w:sz w:val="22"/>
          <w:szCs w:val="22"/>
        </w:rPr>
        <w:t>2.</w:t>
      </w:r>
      <w:r>
        <w:rPr>
          <w:rFonts w:hint="eastAsia" w:ascii="宋体" w:hAnsi="宋体" w:cs="宋体"/>
          <w:kern w:val="0"/>
          <w:sz w:val="22"/>
          <w:szCs w:val="22"/>
        </w:rPr>
        <w:t>本项目不可以分包。</w:t>
      </w:r>
    </w:p>
    <w:p>
      <w:pPr>
        <w:snapToGrid w:val="0"/>
        <w:spacing w:before="120" w:beforeLines="50" w:line="440" w:lineRule="exact"/>
        <w:ind w:firstLine="433" w:firstLineChars="196"/>
        <w:jc w:val="left"/>
        <w:outlineLvl w:val="1"/>
        <w:rPr>
          <w:rFonts w:ascii="宋体"/>
          <w:b/>
          <w:sz w:val="22"/>
          <w:szCs w:val="22"/>
        </w:rPr>
      </w:pPr>
      <w:bookmarkStart w:id="75" w:name="_Toc254970673"/>
      <w:bookmarkStart w:id="76" w:name="_Toc254970532"/>
      <w:r>
        <w:rPr>
          <w:rFonts w:hint="eastAsia" w:ascii="宋体" w:hAnsi="宋体"/>
          <w:b/>
          <w:sz w:val="22"/>
          <w:szCs w:val="22"/>
        </w:rPr>
        <w:t>（八）特别说明：</w:t>
      </w:r>
      <w:bookmarkEnd w:id="75"/>
      <w:bookmarkEnd w:id="76"/>
    </w:p>
    <w:p>
      <w:pPr>
        <w:widowControl/>
        <w:spacing w:line="440" w:lineRule="exact"/>
        <w:ind w:firstLine="440" w:firstLineChars="200"/>
        <w:jc w:val="left"/>
        <w:rPr>
          <w:rFonts w:ascii="宋体" w:cs="宋体"/>
          <w:kern w:val="0"/>
          <w:sz w:val="22"/>
          <w:szCs w:val="22"/>
        </w:rPr>
      </w:pPr>
      <w:r>
        <w:rPr>
          <w:rFonts w:ascii="宋体" w:hAnsi="宋体"/>
          <w:sz w:val="22"/>
          <w:szCs w:val="22"/>
        </w:rPr>
        <w:t>1.</w:t>
      </w:r>
      <w:r>
        <w:rPr>
          <w:rFonts w:ascii="宋体" w:hAnsi="宋体" w:cs="Arial"/>
          <w:kern w:val="0"/>
          <w:sz w:val="22"/>
          <w:szCs w:val="22"/>
        </w:rPr>
        <w:t xml:space="preserve"> </w:t>
      </w:r>
      <w:r>
        <w:rPr>
          <w:rFonts w:hint="eastAsia" w:ascii="宋体" w:hAnsi="宋体" w:cs="宋体"/>
          <w:kern w:val="0"/>
          <w:sz w:val="22"/>
          <w:szCs w:val="22"/>
        </w:rPr>
        <w:t>单位负责人为同一人或者存在直接控股、管理关系的不同供应商，不得参加同一项目或分标的政府采购活动。</w:t>
      </w:r>
    </w:p>
    <w:p>
      <w:pPr>
        <w:widowControl/>
        <w:spacing w:line="400" w:lineRule="exact"/>
        <w:ind w:firstLine="440" w:firstLineChars="200"/>
        <w:jc w:val="left"/>
        <w:rPr>
          <w:rFonts w:ascii="宋体"/>
          <w:sz w:val="22"/>
          <w:szCs w:val="22"/>
        </w:rPr>
      </w:pPr>
      <w:r>
        <w:rPr>
          <w:rFonts w:ascii="宋体" w:hAnsi="宋体"/>
          <w:sz w:val="22"/>
          <w:szCs w:val="22"/>
        </w:rPr>
        <w:t>2.</w:t>
      </w:r>
      <w:r>
        <w:rPr>
          <w:rFonts w:hint="eastAsia" w:ascii="宋体" w:hAnsi="宋体"/>
          <w:sz w:val="22"/>
          <w:szCs w:val="22"/>
        </w:rPr>
        <w:t>提供同品牌产品的不同投标人参加同一合同项下投标的，以其中通过资格审查且报价最低的参加评标，报价相同的，由采购人自主选择确定一个参加评标，其他投标无效。</w:t>
      </w:r>
    </w:p>
    <w:p>
      <w:pPr>
        <w:widowControl/>
        <w:spacing w:line="400" w:lineRule="exact"/>
        <w:ind w:firstLine="440" w:firstLineChars="200"/>
        <w:jc w:val="left"/>
        <w:rPr>
          <w:rFonts w:ascii="宋体" w:cs="宋体"/>
          <w:kern w:val="0"/>
          <w:sz w:val="22"/>
          <w:szCs w:val="22"/>
        </w:rPr>
      </w:pPr>
      <w:r>
        <w:rPr>
          <w:rFonts w:hint="eastAsia" w:ascii="宋体" w:hAnsi="宋体"/>
          <w:sz w:val="22"/>
          <w:szCs w:val="22"/>
        </w:rPr>
        <w:t>非单一产品采购项目中，多家投标人提供的核心产品品牌相同的，视为提供同品牌产品。核心产品的名称见本招标文件第二章“招标项目采购需求”。</w:t>
      </w:r>
    </w:p>
    <w:p>
      <w:pPr>
        <w:widowControl/>
        <w:spacing w:line="440" w:lineRule="exact"/>
        <w:ind w:firstLine="220" w:firstLineChars="100"/>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多家代理商或经销商参加投标，如其中两家或两家以上供应商存在分级代理或代销关系，且提供的是其所代理品牌产品的，评审时，按上述规定确定其中一家为有效供应商。</w:t>
      </w:r>
    </w:p>
    <w:p>
      <w:pPr>
        <w:pStyle w:val="4"/>
        <w:snapToGrid w:val="0"/>
        <w:spacing w:line="440" w:lineRule="exact"/>
        <w:ind w:left="2" w:leftChars="1" w:firstLine="440" w:firstLineChars="200"/>
        <w:rPr>
          <w:rFonts w:hAnsi="宋体"/>
          <w:sz w:val="22"/>
          <w:szCs w:val="22"/>
        </w:rPr>
      </w:pPr>
      <w:r>
        <w:rPr>
          <w:rFonts w:hAnsi="宋体"/>
          <w:sz w:val="22"/>
          <w:szCs w:val="22"/>
        </w:rPr>
        <w:t>3.</w:t>
      </w:r>
      <w:r>
        <w:rPr>
          <w:rFonts w:hint="eastAsia" w:hAnsi="宋体"/>
          <w:sz w:val="22"/>
          <w:szCs w:val="22"/>
        </w:rPr>
        <w:t>投标人投标所使用的资格、信誉、荣誉、业绩与企业认证必须为本法人所拥有。投标人投标所使用的采购项目实施</w:t>
      </w:r>
      <w:r>
        <w:rPr>
          <w:rFonts w:hint="eastAsia" w:hAnsi="宋体"/>
          <w:b/>
          <w:sz w:val="22"/>
          <w:szCs w:val="22"/>
        </w:rPr>
        <w:t>（指项目合同的履行）</w:t>
      </w:r>
      <w:r>
        <w:rPr>
          <w:rFonts w:hint="eastAsia" w:hAnsi="宋体"/>
          <w:sz w:val="22"/>
          <w:szCs w:val="22"/>
        </w:rPr>
        <w:t>人员必须为本法人员工（或必须为本法人或控股公司正式员工）。</w:t>
      </w:r>
    </w:p>
    <w:p>
      <w:pPr>
        <w:pStyle w:val="4"/>
        <w:snapToGrid w:val="0"/>
        <w:spacing w:line="440" w:lineRule="exact"/>
        <w:ind w:left="2" w:leftChars="1" w:firstLine="440" w:firstLineChars="200"/>
        <w:rPr>
          <w:rFonts w:hAnsi="宋体"/>
          <w:sz w:val="22"/>
          <w:szCs w:val="22"/>
        </w:rPr>
      </w:pPr>
      <w:r>
        <w:rPr>
          <w:rFonts w:hAnsi="宋体"/>
          <w:sz w:val="22"/>
          <w:szCs w:val="22"/>
        </w:rPr>
        <w:t>4.</w:t>
      </w:r>
      <w:r>
        <w:rPr>
          <w:rFonts w:hint="eastAsia" w:hAnsi="宋体"/>
          <w:sz w:val="22"/>
          <w:szCs w:val="22"/>
        </w:rPr>
        <w:t>投标人应仔细阅读招标文件的所有内容，按照招标文件的要求提交投标文件，并对所提供的全部资料的真实性承担法律责任。</w:t>
      </w:r>
    </w:p>
    <w:p>
      <w:pPr>
        <w:pStyle w:val="4"/>
        <w:snapToGrid w:val="0"/>
        <w:spacing w:line="440" w:lineRule="exact"/>
        <w:ind w:left="2" w:leftChars="1" w:firstLine="440" w:firstLineChars="200"/>
        <w:rPr>
          <w:rFonts w:hAnsi="宋体"/>
          <w:sz w:val="22"/>
          <w:szCs w:val="22"/>
        </w:rPr>
      </w:pPr>
      <w:r>
        <w:rPr>
          <w:rFonts w:hAnsi="宋体"/>
          <w:sz w:val="22"/>
          <w:szCs w:val="22"/>
        </w:rPr>
        <w:t>5.</w:t>
      </w:r>
      <w:r>
        <w:rPr>
          <w:rFonts w:hint="eastAsia" w:hAnsi="宋体"/>
          <w:sz w:val="22"/>
          <w:szCs w:val="22"/>
        </w:rPr>
        <w:t>投标人在投标活动中提供任何虚假材料</w:t>
      </w:r>
      <w:r>
        <w:rPr>
          <w:rFonts w:hAnsi="宋体"/>
          <w:sz w:val="22"/>
          <w:szCs w:val="22"/>
        </w:rPr>
        <w:t>,</w:t>
      </w:r>
      <w:r>
        <w:rPr>
          <w:rFonts w:hint="eastAsia" w:hAnsi="宋体"/>
          <w:sz w:val="22"/>
          <w:szCs w:val="22"/>
        </w:rPr>
        <w:t>其投标无效，并报监管部门查处；中标后发现的</w:t>
      </w:r>
      <w:r>
        <w:rPr>
          <w:rFonts w:hAnsi="宋体"/>
          <w:sz w:val="22"/>
          <w:szCs w:val="22"/>
        </w:rPr>
        <w:t>,</w:t>
      </w:r>
      <w:r>
        <w:rPr>
          <w:rFonts w:hint="eastAsia" w:hAnsi="宋体"/>
          <w:sz w:val="22"/>
          <w:szCs w:val="22"/>
        </w:rPr>
        <w:t>中标人须依照《中华人民共和国消费者权益保护法》第</w:t>
      </w:r>
      <w:r>
        <w:rPr>
          <w:rFonts w:hAnsi="宋体"/>
          <w:color w:val="FF00FF"/>
          <w:sz w:val="22"/>
          <w:szCs w:val="22"/>
        </w:rPr>
        <w:t>55</w:t>
      </w:r>
      <w:r>
        <w:rPr>
          <w:rFonts w:hint="eastAsia" w:hAnsi="宋体"/>
          <w:sz w:val="22"/>
          <w:szCs w:val="22"/>
        </w:rPr>
        <w:t>条之规定</w:t>
      </w:r>
      <w:r>
        <w:rPr>
          <w:rFonts w:hint="eastAsia" w:hAnsi="宋体"/>
          <w:color w:val="FF00FF"/>
          <w:sz w:val="22"/>
          <w:szCs w:val="22"/>
        </w:rPr>
        <w:t>叁</w:t>
      </w:r>
      <w:r>
        <w:rPr>
          <w:rFonts w:hint="eastAsia" w:hAnsi="宋体"/>
          <w:sz w:val="22"/>
          <w:szCs w:val="22"/>
        </w:rPr>
        <w:t>倍赔偿采购人，且民事赔偿并不免除违法投标人的行政与刑事责任。</w:t>
      </w:r>
    </w:p>
    <w:p>
      <w:pPr>
        <w:pStyle w:val="4"/>
        <w:snapToGrid w:val="0"/>
        <w:spacing w:line="440" w:lineRule="exact"/>
        <w:ind w:left="2" w:leftChars="1" w:firstLine="440" w:firstLineChars="200"/>
        <w:rPr>
          <w:rFonts w:hAnsi="宋体"/>
          <w:sz w:val="22"/>
          <w:szCs w:val="22"/>
        </w:rPr>
      </w:pPr>
      <w:r>
        <w:rPr>
          <w:rFonts w:hAnsi="宋体"/>
          <w:sz w:val="22"/>
          <w:szCs w:val="22"/>
        </w:rPr>
        <w:t>6.</w:t>
      </w:r>
      <w:r>
        <w:rPr>
          <w:rFonts w:hAnsi="宋体"/>
          <w:b/>
          <w:sz w:val="22"/>
          <w:szCs w:val="22"/>
        </w:rPr>
        <w:t xml:space="preserve"> </w:t>
      </w:r>
      <w:r>
        <w:rPr>
          <w:rFonts w:hint="eastAsia" w:hAnsi="宋体"/>
          <w:b/>
          <w:sz w:val="22"/>
          <w:szCs w:val="22"/>
        </w:rPr>
        <w:t>投标截止时间前三天，提交投标报名申请书的供应商不足三家的，本中心将延迟截标和开标时间不少于五日，并书面通知已获取招标文件的供应商，并在学校指定的采购信息发布媒体上发布变更公告。</w:t>
      </w:r>
    </w:p>
    <w:p>
      <w:pPr>
        <w:pStyle w:val="4"/>
        <w:snapToGrid w:val="0"/>
        <w:spacing w:line="440" w:lineRule="exact"/>
        <w:ind w:firstLine="433" w:firstLineChars="196"/>
        <w:outlineLvl w:val="1"/>
        <w:rPr>
          <w:rFonts w:hAnsi="宋体"/>
          <w:b/>
          <w:bCs/>
          <w:sz w:val="22"/>
          <w:szCs w:val="22"/>
        </w:rPr>
      </w:pPr>
      <w:bookmarkStart w:id="77" w:name="_Toc254970533"/>
      <w:bookmarkStart w:id="78" w:name="_Toc254970674"/>
      <w:r>
        <w:rPr>
          <w:rFonts w:hint="eastAsia" w:hAnsi="宋体"/>
          <w:b/>
          <w:bCs/>
          <w:sz w:val="22"/>
          <w:szCs w:val="22"/>
        </w:rPr>
        <w:t>（九）质疑和投诉</w:t>
      </w:r>
      <w:bookmarkEnd w:id="77"/>
      <w:bookmarkEnd w:id="78"/>
    </w:p>
    <w:p>
      <w:pPr>
        <w:pStyle w:val="4"/>
        <w:snapToGrid w:val="0"/>
        <w:spacing w:line="440" w:lineRule="exact"/>
        <w:ind w:firstLine="440" w:firstLineChars="200"/>
        <w:rPr>
          <w:rFonts w:hAnsi="宋体"/>
          <w:bCs/>
          <w:sz w:val="22"/>
          <w:szCs w:val="22"/>
        </w:rPr>
      </w:pPr>
      <w:r>
        <w:rPr>
          <w:rFonts w:hAnsi="宋体"/>
          <w:bCs/>
          <w:sz w:val="22"/>
          <w:szCs w:val="22"/>
        </w:rPr>
        <w:t>1.</w:t>
      </w:r>
      <w:r>
        <w:rPr>
          <w:rFonts w:hint="eastAsia" w:hAnsi="宋体"/>
          <w:bCs/>
          <w:sz w:val="22"/>
          <w:szCs w:val="22"/>
        </w:rPr>
        <w:t>投标人认为招标文件、招标过程或中标结果使自己的合法权益受到损害的，应当在知道或者应知其权益受到损害之日起五个工作日内，以书面形式向采购人、采购代理机构提出质疑。</w:t>
      </w:r>
      <w:r>
        <w:rPr>
          <w:rFonts w:hint="eastAsia" w:hAnsi="宋体"/>
          <w:sz w:val="22"/>
          <w:szCs w:val="22"/>
        </w:rPr>
        <w:t>投标人对招标采购单位的质疑答复不满意或者招标采购单位未在规定时间内作出答复的，可以在答复期满后七个工作日内向同级采购监管部门投诉。</w:t>
      </w:r>
    </w:p>
    <w:p>
      <w:pPr>
        <w:pStyle w:val="4"/>
        <w:snapToGrid w:val="0"/>
        <w:spacing w:line="440" w:lineRule="exact"/>
        <w:ind w:firstLine="440" w:firstLineChars="200"/>
        <w:rPr>
          <w:rFonts w:hAnsi="宋体"/>
          <w:bCs/>
          <w:sz w:val="22"/>
          <w:szCs w:val="22"/>
        </w:rPr>
      </w:pPr>
      <w:r>
        <w:rPr>
          <w:rFonts w:hAnsi="宋体"/>
          <w:bCs/>
          <w:sz w:val="22"/>
          <w:szCs w:val="22"/>
        </w:rPr>
        <w:t>2.</w:t>
      </w:r>
      <w:r>
        <w:rPr>
          <w:rFonts w:hint="eastAsia" w:hAnsi="宋体"/>
          <w:bCs/>
          <w:sz w:val="22"/>
          <w:szCs w:val="22"/>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
        <w:snapToGrid w:val="0"/>
        <w:spacing w:line="440" w:lineRule="exact"/>
        <w:ind w:firstLine="433" w:firstLineChars="196"/>
        <w:outlineLvl w:val="0"/>
        <w:rPr>
          <w:rFonts w:hAnsi="宋体"/>
          <w:b/>
          <w:sz w:val="22"/>
          <w:szCs w:val="22"/>
        </w:rPr>
      </w:pPr>
      <w:bookmarkStart w:id="79" w:name="_Toc254970675"/>
      <w:bookmarkStart w:id="80" w:name="_Toc254970534"/>
      <w:r>
        <w:rPr>
          <w:rFonts w:hint="eastAsia" w:hAnsi="宋体"/>
          <w:b/>
          <w:sz w:val="22"/>
          <w:szCs w:val="22"/>
        </w:rPr>
        <w:t>二、招标文件</w:t>
      </w:r>
      <w:bookmarkEnd w:id="79"/>
      <w:bookmarkEnd w:id="80"/>
    </w:p>
    <w:p>
      <w:pPr>
        <w:snapToGrid w:val="0"/>
        <w:spacing w:line="440" w:lineRule="exact"/>
        <w:ind w:firstLine="433" w:firstLineChars="196"/>
        <w:jc w:val="left"/>
        <w:rPr>
          <w:rFonts w:ascii="宋体"/>
          <w:b/>
          <w:sz w:val="22"/>
          <w:szCs w:val="22"/>
        </w:rPr>
      </w:pPr>
      <w:r>
        <w:rPr>
          <w:rFonts w:hint="eastAsia" w:ascii="宋体" w:hAnsi="宋体"/>
          <w:b/>
          <w:sz w:val="22"/>
          <w:szCs w:val="22"/>
        </w:rPr>
        <w:t>（一）招标文件的构成。本招标文件由以下部份组成：</w:t>
      </w:r>
    </w:p>
    <w:p>
      <w:pPr>
        <w:snapToGrid w:val="0"/>
        <w:spacing w:line="440" w:lineRule="exact"/>
        <w:ind w:firstLine="440" w:firstLineChars="200"/>
        <w:jc w:val="left"/>
        <w:rPr>
          <w:rFonts w:ascii="宋体"/>
          <w:sz w:val="22"/>
          <w:szCs w:val="22"/>
        </w:rPr>
      </w:pPr>
      <w:r>
        <w:rPr>
          <w:rFonts w:ascii="宋体" w:hAnsi="宋体"/>
          <w:sz w:val="22"/>
          <w:szCs w:val="22"/>
        </w:rPr>
        <w:t>1.</w:t>
      </w:r>
      <w:r>
        <w:rPr>
          <w:rFonts w:hint="eastAsia" w:ascii="宋体" w:hAnsi="宋体"/>
          <w:sz w:val="22"/>
          <w:szCs w:val="22"/>
        </w:rPr>
        <w:t>招标公告；</w:t>
      </w:r>
    </w:p>
    <w:p>
      <w:pPr>
        <w:snapToGrid w:val="0"/>
        <w:spacing w:line="440" w:lineRule="exact"/>
        <w:ind w:firstLine="440" w:firstLineChars="200"/>
        <w:jc w:val="left"/>
        <w:rPr>
          <w:rFonts w:ascii="宋体"/>
          <w:sz w:val="22"/>
          <w:szCs w:val="22"/>
        </w:rPr>
      </w:pPr>
      <w:r>
        <w:rPr>
          <w:rFonts w:ascii="宋体" w:hAnsi="宋体"/>
          <w:sz w:val="22"/>
          <w:szCs w:val="22"/>
        </w:rPr>
        <w:t>2.</w:t>
      </w:r>
      <w:r>
        <w:rPr>
          <w:rFonts w:hint="eastAsia" w:ascii="宋体" w:hAnsi="宋体"/>
          <w:sz w:val="22"/>
          <w:szCs w:val="22"/>
        </w:rPr>
        <w:t>招标需求；</w:t>
      </w:r>
    </w:p>
    <w:p>
      <w:pPr>
        <w:snapToGrid w:val="0"/>
        <w:spacing w:line="440" w:lineRule="exact"/>
        <w:ind w:firstLine="440" w:firstLineChars="200"/>
        <w:jc w:val="left"/>
        <w:rPr>
          <w:rFonts w:ascii="宋体"/>
          <w:sz w:val="22"/>
          <w:szCs w:val="22"/>
        </w:rPr>
      </w:pPr>
      <w:r>
        <w:rPr>
          <w:rFonts w:ascii="宋体" w:hAnsi="宋体"/>
          <w:sz w:val="22"/>
          <w:szCs w:val="22"/>
        </w:rPr>
        <w:t>3.</w:t>
      </w:r>
      <w:r>
        <w:rPr>
          <w:rFonts w:hint="eastAsia" w:ascii="宋体" w:hAnsi="宋体"/>
          <w:sz w:val="22"/>
          <w:szCs w:val="22"/>
        </w:rPr>
        <w:t>投标人须知；</w:t>
      </w:r>
    </w:p>
    <w:p>
      <w:pPr>
        <w:snapToGrid w:val="0"/>
        <w:spacing w:line="440" w:lineRule="exact"/>
        <w:ind w:firstLine="440" w:firstLineChars="200"/>
        <w:jc w:val="left"/>
        <w:rPr>
          <w:rFonts w:ascii="宋体"/>
          <w:sz w:val="22"/>
          <w:szCs w:val="22"/>
        </w:rPr>
      </w:pPr>
      <w:r>
        <w:rPr>
          <w:rFonts w:ascii="宋体" w:hAnsi="宋体"/>
          <w:sz w:val="22"/>
          <w:szCs w:val="22"/>
        </w:rPr>
        <w:t>4.</w:t>
      </w:r>
      <w:r>
        <w:rPr>
          <w:rFonts w:hint="eastAsia" w:ascii="宋体" w:hAnsi="宋体"/>
          <w:sz w:val="22"/>
          <w:szCs w:val="22"/>
        </w:rPr>
        <w:t>评标办法及标准；</w:t>
      </w:r>
    </w:p>
    <w:p>
      <w:pPr>
        <w:snapToGrid w:val="0"/>
        <w:spacing w:line="440" w:lineRule="exact"/>
        <w:ind w:firstLine="440" w:firstLineChars="200"/>
        <w:jc w:val="left"/>
        <w:rPr>
          <w:rFonts w:ascii="宋体"/>
          <w:sz w:val="22"/>
          <w:szCs w:val="22"/>
        </w:rPr>
      </w:pPr>
      <w:r>
        <w:rPr>
          <w:rFonts w:ascii="宋体" w:hAnsi="宋体"/>
          <w:sz w:val="22"/>
          <w:szCs w:val="22"/>
        </w:rPr>
        <w:t>5.</w:t>
      </w:r>
      <w:r>
        <w:rPr>
          <w:rFonts w:hint="eastAsia" w:ascii="宋体" w:hAnsi="宋体"/>
          <w:sz w:val="22"/>
          <w:szCs w:val="22"/>
        </w:rPr>
        <w:t>合同主要条款；</w:t>
      </w:r>
    </w:p>
    <w:p>
      <w:pPr>
        <w:snapToGrid w:val="0"/>
        <w:spacing w:line="440" w:lineRule="exact"/>
        <w:ind w:firstLine="440" w:firstLineChars="200"/>
        <w:jc w:val="left"/>
        <w:rPr>
          <w:rFonts w:ascii="宋体"/>
          <w:sz w:val="22"/>
          <w:szCs w:val="22"/>
        </w:rPr>
      </w:pPr>
      <w:r>
        <w:rPr>
          <w:rFonts w:ascii="宋体" w:hAnsi="宋体"/>
          <w:sz w:val="22"/>
          <w:szCs w:val="22"/>
        </w:rPr>
        <w:t>6.</w:t>
      </w:r>
      <w:r>
        <w:rPr>
          <w:rFonts w:hint="eastAsia" w:ascii="宋体" w:hAnsi="宋体"/>
          <w:sz w:val="22"/>
          <w:szCs w:val="22"/>
        </w:rPr>
        <w:t>投标文件格式。</w:t>
      </w:r>
    </w:p>
    <w:p>
      <w:pPr>
        <w:snapToGrid w:val="0"/>
        <w:spacing w:before="120" w:beforeLines="50" w:line="440" w:lineRule="exact"/>
        <w:ind w:firstLine="433" w:firstLineChars="196"/>
        <w:jc w:val="left"/>
        <w:rPr>
          <w:rFonts w:ascii="宋体"/>
          <w:b/>
          <w:sz w:val="22"/>
          <w:szCs w:val="22"/>
        </w:rPr>
      </w:pPr>
      <w:r>
        <w:rPr>
          <w:rFonts w:hint="eastAsia" w:ascii="宋体" w:hAnsi="宋体"/>
          <w:b/>
          <w:sz w:val="22"/>
          <w:szCs w:val="22"/>
        </w:rPr>
        <w:t>（二）投标人的风险</w:t>
      </w:r>
    </w:p>
    <w:p>
      <w:pPr>
        <w:pStyle w:val="5"/>
        <w:spacing w:line="440" w:lineRule="exact"/>
        <w:ind w:left="0" w:leftChars="0" w:firstLine="422" w:firstLineChars="192"/>
        <w:rPr>
          <w:rFonts w:ascii="宋体"/>
          <w:sz w:val="22"/>
          <w:szCs w:val="22"/>
        </w:rPr>
      </w:pPr>
      <w:r>
        <w:rPr>
          <w:rFonts w:hint="eastAsia" w:ascii="宋体" w:hAnsi="宋体" w:cs="Courier New"/>
          <w:sz w:val="22"/>
          <w:szCs w:val="22"/>
        </w:rPr>
        <w:t>投标人没有按照招标文件要求提供全部资料，或者投标人没有对招标文件在各方面作出实质性响应是投标人的风险，并可能导致其投标被拒绝</w:t>
      </w:r>
      <w:r>
        <w:rPr>
          <w:rFonts w:hint="eastAsia" w:ascii="宋体" w:hAnsi="宋体"/>
          <w:sz w:val="22"/>
          <w:szCs w:val="22"/>
        </w:rPr>
        <w:t>。</w:t>
      </w:r>
    </w:p>
    <w:p>
      <w:pPr>
        <w:pStyle w:val="2"/>
        <w:widowControl w:val="0"/>
        <w:tabs>
          <w:tab w:val="left" w:pos="720"/>
          <w:tab w:val="left" w:pos="840"/>
        </w:tabs>
        <w:snapToGrid w:val="0"/>
        <w:spacing w:before="120" w:beforeLines="50" w:afterLines="0" w:line="440" w:lineRule="exact"/>
        <w:ind w:left="0" w:firstLine="433" w:firstLineChars="196"/>
        <w:rPr>
          <w:rFonts w:ascii="宋体"/>
          <w:b/>
          <w:sz w:val="22"/>
          <w:szCs w:val="22"/>
        </w:rPr>
      </w:pPr>
      <w:r>
        <w:rPr>
          <w:rFonts w:hint="eastAsia" w:ascii="宋体" w:hAnsi="宋体"/>
          <w:b/>
          <w:sz w:val="22"/>
          <w:szCs w:val="22"/>
        </w:rPr>
        <w:t>（三）招标文件的澄清与修改</w:t>
      </w:r>
      <w:r>
        <w:rPr>
          <w:rFonts w:ascii="宋体" w:hAnsi="宋体"/>
          <w:b/>
          <w:sz w:val="22"/>
          <w:szCs w:val="22"/>
        </w:rPr>
        <w:t xml:space="preserve"> </w:t>
      </w:r>
    </w:p>
    <w:p>
      <w:pPr>
        <w:pStyle w:val="4"/>
        <w:snapToGrid w:val="0"/>
        <w:spacing w:line="440" w:lineRule="exact"/>
        <w:ind w:firstLine="440" w:firstLineChars="200"/>
        <w:rPr>
          <w:rFonts w:hAnsi="宋体"/>
          <w:sz w:val="22"/>
          <w:szCs w:val="22"/>
        </w:rPr>
      </w:pPr>
      <w:r>
        <w:rPr>
          <w:rFonts w:hAnsi="宋体"/>
          <w:sz w:val="22"/>
          <w:szCs w:val="22"/>
        </w:rPr>
        <w:t>1.</w:t>
      </w:r>
      <w:r>
        <w:rPr>
          <w:rFonts w:hint="eastAsia" w:hAnsi="宋体"/>
          <w:bCs/>
          <w:sz w:val="22"/>
          <w:szCs w:val="22"/>
        </w:rPr>
        <w:t>投标人应认真阅读本招标文件，发现其中有误或有不合理要求的，投标人</w:t>
      </w:r>
      <w:r>
        <w:rPr>
          <w:rFonts w:hint="eastAsia" w:hAnsi="宋体"/>
          <w:bCs/>
          <w:color w:val="FF0000"/>
          <w:sz w:val="22"/>
          <w:szCs w:val="22"/>
        </w:rPr>
        <w:t>必须在</w:t>
      </w:r>
      <w:r>
        <w:rPr>
          <w:rFonts w:hAnsi="宋体"/>
          <w:color w:val="FF0000"/>
          <w:sz w:val="22"/>
          <w:szCs w:val="22"/>
          <w:u w:val="single"/>
        </w:rPr>
        <w:t xml:space="preserve">2020年11月 </w:t>
      </w:r>
      <w:r>
        <w:rPr>
          <w:rFonts w:hint="eastAsia" w:hAnsi="宋体"/>
          <w:color w:val="FF0000"/>
          <w:sz w:val="22"/>
          <w:szCs w:val="22"/>
          <w:u w:val="single"/>
          <w:lang w:val="en-US" w:eastAsia="zh-CN"/>
        </w:rPr>
        <w:t>17</w:t>
      </w:r>
      <w:bookmarkStart w:id="105" w:name="_GoBack"/>
      <w:bookmarkEnd w:id="105"/>
      <w:r>
        <w:rPr>
          <w:rFonts w:hAnsi="宋体"/>
          <w:color w:val="FF0000"/>
          <w:sz w:val="22"/>
          <w:szCs w:val="22"/>
          <w:u w:val="single"/>
        </w:rPr>
        <w:t xml:space="preserve"> </w:t>
      </w:r>
      <w:r>
        <w:rPr>
          <w:rFonts w:hint="eastAsia" w:hAnsi="宋体"/>
          <w:color w:val="FF0000"/>
          <w:sz w:val="22"/>
          <w:szCs w:val="22"/>
        </w:rPr>
        <w:t>日</w:t>
      </w:r>
      <w:r>
        <w:rPr>
          <w:rFonts w:hAnsi="宋体"/>
          <w:bCs/>
          <w:color w:val="FF0000"/>
          <w:sz w:val="22"/>
          <w:szCs w:val="22"/>
        </w:rPr>
        <w:t>17</w:t>
      </w:r>
      <w:r>
        <w:rPr>
          <w:rFonts w:hint="eastAsia" w:hAnsi="宋体"/>
          <w:bCs/>
          <w:color w:val="FF0000"/>
          <w:sz w:val="22"/>
          <w:szCs w:val="22"/>
        </w:rPr>
        <w:t>：</w:t>
      </w:r>
      <w:r>
        <w:rPr>
          <w:rFonts w:hAnsi="宋体"/>
          <w:bCs/>
          <w:color w:val="FF0000"/>
          <w:sz w:val="22"/>
          <w:szCs w:val="22"/>
        </w:rPr>
        <w:t>30</w:t>
      </w:r>
      <w:r>
        <w:rPr>
          <w:rFonts w:hint="eastAsia" w:hAnsi="宋体"/>
          <w:bCs/>
          <w:sz w:val="22"/>
          <w:szCs w:val="22"/>
        </w:rPr>
        <w:t>前以书面形式要求招标采购单位澄清</w:t>
      </w:r>
      <w:r>
        <w:rPr>
          <w:rFonts w:hint="eastAsia" w:hAnsi="宋体"/>
          <w:sz w:val="22"/>
          <w:szCs w:val="22"/>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4"/>
        <w:snapToGrid w:val="0"/>
        <w:spacing w:line="440" w:lineRule="exact"/>
        <w:ind w:firstLine="440" w:firstLineChars="200"/>
        <w:rPr>
          <w:rFonts w:hAnsi="宋体"/>
          <w:sz w:val="22"/>
          <w:szCs w:val="22"/>
        </w:rPr>
      </w:pPr>
      <w:r>
        <w:rPr>
          <w:rFonts w:hAnsi="宋体"/>
          <w:sz w:val="22"/>
          <w:szCs w:val="22"/>
        </w:rPr>
        <w:t>2.</w:t>
      </w:r>
      <w:r>
        <w:rPr>
          <w:rFonts w:hint="eastAsia" w:hAnsi="宋体"/>
          <w:sz w:val="22"/>
          <w:szCs w:val="22"/>
        </w:rPr>
        <w:t>采购代理机构必须以书面形式答复投标人要求澄清的问题，并将不包含问题来源的答复书面通知所有购买招标文件的投标人；除书面答复以外的其他澄清方式及澄清内容均无效。</w:t>
      </w:r>
    </w:p>
    <w:p>
      <w:pPr>
        <w:pStyle w:val="4"/>
        <w:snapToGrid w:val="0"/>
        <w:spacing w:line="440" w:lineRule="exact"/>
        <w:ind w:firstLine="440" w:firstLineChars="200"/>
        <w:rPr>
          <w:rFonts w:hAnsi="宋体"/>
          <w:sz w:val="22"/>
          <w:szCs w:val="22"/>
        </w:rPr>
      </w:pPr>
      <w:r>
        <w:rPr>
          <w:rFonts w:hAnsi="宋体"/>
          <w:sz w:val="22"/>
          <w:szCs w:val="22"/>
        </w:rPr>
        <w:t>3.</w:t>
      </w:r>
      <w:r>
        <w:rPr>
          <w:rFonts w:hint="eastAsia" w:hAnsi="宋体"/>
          <w:sz w:val="22"/>
          <w:szCs w:val="22"/>
        </w:rPr>
        <w:t>招标文件澄清、答复、修改、补充的内容为招标文件的组成部分。当招标文件与招标文件的答复、澄清、修改、补充通知就同一内容的表述不一致时，以最后发出的书面文件为准。</w:t>
      </w:r>
    </w:p>
    <w:p>
      <w:pPr>
        <w:pStyle w:val="4"/>
        <w:snapToGrid w:val="0"/>
        <w:spacing w:line="440" w:lineRule="exact"/>
        <w:ind w:firstLine="440" w:firstLineChars="200"/>
        <w:rPr>
          <w:rFonts w:hAnsi="宋体"/>
          <w:sz w:val="22"/>
          <w:szCs w:val="22"/>
        </w:rPr>
      </w:pPr>
      <w:r>
        <w:rPr>
          <w:rFonts w:hAnsi="宋体"/>
          <w:sz w:val="22"/>
          <w:szCs w:val="22"/>
        </w:rPr>
        <w:t>4.</w:t>
      </w:r>
      <w:r>
        <w:rPr>
          <w:rFonts w:hint="eastAsia" w:hAnsi="宋体"/>
          <w:sz w:val="22"/>
          <w:szCs w:val="22"/>
        </w:rPr>
        <w:t>招标文件的澄清、答复、修改或补充都应该通过本采购代理机构以法定形式发布，采购人非通过本机构，不得擅自澄清、答复、修改或补充招标文件。</w:t>
      </w:r>
    </w:p>
    <w:p>
      <w:pPr>
        <w:pStyle w:val="4"/>
        <w:snapToGrid w:val="0"/>
        <w:spacing w:line="440" w:lineRule="exact"/>
        <w:ind w:firstLine="440" w:firstLineChars="200"/>
        <w:rPr>
          <w:rFonts w:hAnsi="宋体"/>
          <w:sz w:val="22"/>
          <w:szCs w:val="22"/>
        </w:rPr>
      </w:pPr>
      <w:r>
        <w:rPr>
          <w:rFonts w:hAnsi="宋体"/>
          <w:sz w:val="22"/>
          <w:szCs w:val="22"/>
        </w:rPr>
        <w:t>5</w:t>
      </w:r>
      <w:r>
        <w:rPr>
          <w:rFonts w:hint="eastAsia" w:hAnsi="宋体"/>
          <w:sz w:val="22"/>
          <w:szCs w:val="22"/>
        </w:rPr>
        <w:t>、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4"/>
        <w:snapToGrid w:val="0"/>
        <w:spacing w:line="440" w:lineRule="exact"/>
        <w:ind w:firstLine="433" w:firstLineChars="196"/>
        <w:outlineLvl w:val="1"/>
        <w:rPr>
          <w:rFonts w:hAnsi="宋体"/>
          <w:b/>
          <w:sz w:val="22"/>
          <w:szCs w:val="22"/>
        </w:rPr>
      </w:pPr>
      <w:bookmarkStart w:id="81" w:name="_Toc254970535"/>
      <w:bookmarkStart w:id="82" w:name="_Toc254970676"/>
      <w:r>
        <w:rPr>
          <w:rFonts w:hint="eastAsia" w:hAnsi="宋体"/>
          <w:b/>
          <w:sz w:val="22"/>
          <w:szCs w:val="22"/>
        </w:rPr>
        <w:t>三、投标文件的编制</w:t>
      </w:r>
      <w:bookmarkEnd w:id="81"/>
      <w:bookmarkEnd w:id="82"/>
    </w:p>
    <w:p>
      <w:pPr>
        <w:snapToGrid w:val="0"/>
        <w:spacing w:line="440" w:lineRule="exact"/>
        <w:ind w:firstLine="433" w:firstLineChars="196"/>
        <w:jc w:val="left"/>
        <w:outlineLvl w:val="0"/>
        <w:rPr>
          <w:rFonts w:ascii="宋体"/>
          <w:b/>
          <w:sz w:val="22"/>
          <w:szCs w:val="22"/>
        </w:rPr>
      </w:pPr>
      <w:bookmarkStart w:id="83" w:name="_Toc254970677"/>
      <w:bookmarkStart w:id="84" w:name="_Toc254970536"/>
      <w:r>
        <w:rPr>
          <w:rFonts w:hint="eastAsia" w:ascii="宋体" w:hAnsi="宋体"/>
          <w:b/>
          <w:sz w:val="22"/>
          <w:szCs w:val="22"/>
        </w:rPr>
        <w:t>（一）投标文件的组成</w:t>
      </w:r>
      <w:bookmarkEnd w:id="83"/>
      <w:bookmarkEnd w:id="84"/>
    </w:p>
    <w:p>
      <w:pPr>
        <w:snapToGrid w:val="0"/>
        <w:spacing w:line="440" w:lineRule="exact"/>
        <w:ind w:firstLine="440" w:firstLineChars="200"/>
        <w:jc w:val="left"/>
        <w:rPr>
          <w:rFonts w:ascii="宋体" w:hAnsi="宋体"/>
          <w:sz w:val="22"/>
          <w:szCs w:val="22"/>
        </w:rPr>
      </w:pPr>
      <w:r>
        <w:rPr>
          <w:rFonts w:hint="eastAsia" w:ascii="宋体" w:hAnsi="宋体"/>
          <w:sz w:val="22"/>
          <w:szCs w:val="22"/>
        </w:rPr>
        <w:t>投标文件由资信及商务文件、技术文件、投标报价文件三部份组成。</w:t>
      </w:r>
    </w:p>
    <w:p>
      <w:pPr>
        <w:snapToGrid w:val="0"/>
        <w:spacing w:line="400" w:lineRule="exact"/>
        <w:ind w:firstLine="433" w:firstLineChars="196"/>
        <w:jc w:val="left"/>
        <w:rPr>
          <w:rFonts w:ascii="宋体"/>
          <w:b/>
          <w:sz w:val="22"/>
          <w:szCs w:val="22"/>
        </w:rPr>
      </w:pPr>
      <w:r>
        <w:rPr>
          <w:rFonts w:ascii="宋体" w:hAnsi="宋体"/>
          <w:b/>
          <w:sz w:val="22"/>
          <w:szCs w:val="22"/>
        </w:rPr>
        <w:t>1.</w:t>
      </w:r>
      <w:r>
        <w:rPr>
          <w:rFonts w:hint="eastAsia" w:ascii="宋体" w:hAnsi="宋体"/>
          <w:b/>
          <w:sz w:val="22"/>
          <w:szCs w:val="22"/>
        </w:rPr>
        <w:t>资信及商务文件：</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）投标声明书</w:t>
      </w:r>
      <w:r>
        <w:rPr>
          <w:rFonts w:ascii="宋体" w:hAnsi="宋体"/>
          <w:sz w:val="22"/>
          <w:szCs w:val="22"/>
        </w:rPr>
        <w:t xml:space="preserve"> (</w:t>
      </w:r>
      <w:r>
        <w:rPr>
          <w:rFonts w:hint="eastAsia" w:ascii="宋体" w:hAnsi="宋体"/>
          <w:sz w:val="22"/>
          <w:szCs w:val="22"/>
        </w:rPr>
        <w:t>格式见附件</w:t>
      </w:r>
      <w:r>
        <w:rPr>
          <w:rFonts w:ascii="宋体" w:hAnsi="宋体"/>
          <w:sz w:val="22"/>
          <w:szCs w:val="22"/>
        </w:rPr>
        <w:t>)</w:t>
      </w:r>
      <w:r>
        <w:rPr>
          <w:rFonts w:hint="eastAsia" w:ascii="宋体" w:hAnsi="宋体"/>
          <w:sz w:val="22"/>
          <w:szCs w:val="22"/>
        </w:rPr>
        <w:t>；</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）法定代表人授权委托书</w:t>
      </w:r>
      <w:r>
        <w:rPr>
          <w:rFonts w:ascii="宋体" w:hAnsi="宋体"/>
          <w:sz w:val="22"/>
          <w:szCs w:val="22"/>
        </w:rPr>
        <w:t>(</w:t>
      </w:r>
      <w:r>
        <w:rPr>
          <w:rFonts w:hint="eastAsia" w:ascii="宋体" w:hAnsi="宋体"/>
          <w:sz w:val="22"/>
          <w:szCs w:val="22"/>
        </w:rPr>
        <w:t>格式见“第六章投标文件格式”</w:t>
      </w:r>
      <w:r>
        <w:rPr>
          <w:rFonts w:ascii="宋体" w:hAnsi="宋体"/>
          <w:sz w:val="22"/>
          <w:szCs w:val="22"/>
        </w:rPr>
        <w:t>)</w:t>
      </w:r>
      <w:r>
        <w:rPr>
          <w:rFonts w:hint="eastAsia" w:ascii="宋体" w:hAnsi="宋体"/>
          <w:sz w:val="22"/>
          <w:szCs w:val="22"/>
        </w:rPr>
        <w:t>；</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）最近一个季度依法缴纳税收证明</w:t>
      </w:r>
      <w:r>
        <w:rPr>
          <w:rFonts w:ascii="宋体" w:hAnsi="宋体"/>
          <w:sz w:val="22"/>
          <w:szCs w:val="22"/>
        </w:rPr>
        <w:t>[</w:t>
      </w:r>
      <w:r>
        <w:rPr>
          <w:rFonts w:hint="eastAsia" w:ascii="宋体" w:hAnsi="宋体"/>
          <w:sz w:val="22"/>
          <w:szCs w:val="22"/>
        </w:rPr>
        <w:t>税费凭证复印件，或者依法缴纳税费或依法免缴税费的证明（复印件，原件备查并一年内有效，格式自拟）</w:t>
      </w:r>
      <w:r>
        <w:rPr>
          <w:rFonts w:ascii="宋体" w:hAnsi="宋体"/>
          <w:sz w:val="22"/>
          <w:szCs w:val="22"/>
        </w:rPr>
        <w:t>]</w:t>
      </w:r>
      <w:r>
        <w:rPr>
          <w:rFonts w:hint="eastAsia" w:ascii="宋体" w:hAnsi="宋体"/>
          <w:sz w:val="22"/>
          <w:szCs w:val="22"/>
        </w:rPr>
        <w:t>及项目实施人员社保证明（社保证明名单要与项目实施人员一览表人员名单相一致）；</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）营业执照副本复印件，具有国内法人资格，注册经营范围满足本次所采购内容的厂（商）家。</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5</w:t>
      </w:r>
      <w:r>
        <w:rPr>
          <w:rFonts w:hint="eastAsia" w:ascii="宋体" w:hAnsi="宋体"/>
          <w:sz w:val="22"/>
          <w:szCs w:val="22"/>
        </w:rPr>
        <w:t>）税务登记证复印件</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6</w:t>
      </w:r>
      <w:r>
        <w:rPr>
          <w:rFonts w:hint="eastAsia" w:ascii="宋体" w:hAnsi="宋体"/>
          <w:sz w:val="22"/>
          <w:szCs w:val="22"/>
        </w:rPr>
        <w:t>）安全生产许可证或者产品代理资格证明文件；</w:t>
      </w:r>
    </w:p>
    <w:p>
      <w:pPr>
        <w:snapToGrid w:val="0"/>
        <w:spacing w:line="400" w:lineRule="exact"/>
        <w:ind w:firstLine="431" w:firstLineChars="196"/>
        <w:jc w:val="left"/>
        <w:rPr>
          <w:rFonts w:ascii="宋体"/>
          <w:sz w:val="22"/>
          <w:szCs w:val="22"/>
        </w:rPr>
      </w:pPr>
      <w:r>
        <w:rPr>
          <w:rFonts w:hint="eastAsia" w:ascii="宋体" w:hAnsi="宋体"/>
          <w:sz w:val="22"/>
          <w:szCs w:val="22"/>
        </w:rPr>
        <w:t>（</w:t>
      </w:r>
      <w:r>
        <w:rPr>
          <w:rFonts w:ascii="宋体" w:hAnsi="宋体"/>
          <w:sz w:val="22"/>
          <w:szCs w:val="22"/>
        </w:rPr>
        <w:t>7</w:t>
      </w:r>
      <w:r>
        <w:rPr>
          <w:rFonts w:hint="eastAsia" w:ascii="宋体" w:hAnsi="宋体"/>
          <w:sz w:val="22"/>
          <w:szCs w:val="22"/>
        </w:rPr>
        <w:t>）类似案例成功的业绩（投标人同类项目实施情况一览表、合同复印件、用户验收报告、用户评价）；</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8</w:t>
      </w:r>
      <w:r>
        <w:rPr>
          <w:rFonts w:hint="eastAsia" w:ascii="宋体" w:hAnsi="宋体"/>
          <w:sz w:val="22"/>
          <w:szCs w:val="22"/>
        </w:rPr>
        <w:t>）招标文件列明的影响投标人资格的其他证明文件；</w:t>
      </w:r>
    </w:p>
    <w:p>
      <w:pPr>
        <w:snapToGrid w:val="0"/>
        <w:spacing w:line="400" w:lineRule="exact"/>
        <w:ind w:firstLine="433" w:firstLineChars="196"/>
        <w:jc w:val="left"/>
        <w:rPr>
          <w:rFonts w:ascii="宋体"/>
          <w:b/>
          <w:bCs/>
          <w:sz w:val="22"/>
          <w:szCs w:val="22"/>
        </w:rPr>
      </w:pPr>
      <w:bookmarkStart w:id="85" w:name="_Toc254970678"/>
      <w:bookmarkStart w:id="86" w:name="_Toc254970537"/>
      <w:r>
        <w:rPr>
          <w:rFonts w:ascii="宋体" w:hAnsi="宋体"/>
          <w:b/>
          <w:bCs/>
          <w:sz w:val="22"/>
          <w:szCs w:val="22"/>
        </w:rPr>
        <w:t>2.</w:t>
      </w:r>
      <w:r>
        <w:rPr>
          <w:rFonts w:hint="eastAsia" w:ascii="宋体" w:hAnsi="宋体"/>
          <w:b/>
          <w:bCs/>
          <w:sz w:val="22"/>
          <w:szCs w:val="22"/>
        </w:rPr>
        <w:t>技术文件：</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）对本项目系统总体要求的理解。包括：功能说明、性能指标及设备选型说明（质量、性能、价格、外观、体积等方面进行比较和选择的理由及过程）；</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）技术响应表；</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）投标人建议的安装、调试、验收方法或方案；</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）技术服务、技术培训、售后服务的内容和措施；</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5</w:t>
      </w:r>
      <w:r>
        <w:rPr>
          <w:rFonts w:hint="eastAsia" w:ascii="宋体" w:hAnsi="宋体"/>
          <w:sz w:val="22"/>
          <w:szCs w:val="22"/>
        </w:rPr>
        <w:t>）项目实施人员一览表</w:t>
      </w:r>
    </w:p>
    <w:p>
      <w:pPr>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6</w:t>
      </w:r>
      <w:r>
        <w:rPr>
          <w:rFonts w:hint="eastAsia" w:ascii="宋体" w:hAnsi="宋体"/>
          <w:sz w:val="22"/>
          <w:szCs w:val="22"/>
        </w:rPr>
        <w:t>）投标人需要说明的其他文件和说明（格式略）。</w:t>
      </w:r>
    </w:p>
    <w:p>
      <w:pPr>
        <w:snapToGrid w:val="0"/>
        <w:spacing w:line="400" w:lineRule="exact"/>
        <w:ind w:firstLine="433" w:firstLineChars="196"/>
        <w:jc w:val="left"/>
        <w:rPr>
          <w:rFonts w:ascii="宋体"/>
          <w:b/>
          <w:sz w:val="22"/>
          <w:szCs w:val="22"/>
        </w:rPr>
      </w:pPr>
      <w:r>
        <w:rPr>
          <w:rFonts w:ascii="宋体" w:hAnsi="宋体"/>
          <w:b/>
          <w:sz w:val="22"/>
          <w:szCs w:val="22"/>
        </w:rPr>
        <w:t>3.</w:t>
      </w:r>
      <w:r>
        <w:rPr>
          <w:rFonts w:hint="eastAsia" w:ascii="宋体" w:hAnsi="宋体"/>
          <w:b/>
          <w:sz w:val="22"/>
          <w:szCs w:val="22"/>
        </w:rPr>
        <w:t>报价文件：</w:t>
      </w:r>
    </w:p>
    <w:p>
      <w:pPr>
        <w:tabs>
          <w:tab w:val="left" w:pos="3870"/>
          <w:tab w:val="left" w:pos="4085"/>
        </w:tabs>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）投标函（格式见“第六章投标文件格式”）；</w:t>
      </w:r>
      <w:r>
        <w:rPr>
          <w:rFonts w:ascii="宋体" w:hAnsi="宋体"/>
          <w:sz w:val="22"/>
          <w:szCs w:val="22"/>
        </w:rPr>
        <w:t xml:space="preserve"> </w:t>
      </w:r>
    </w:p>
    <w:p>
      <w:pPr>
        <w:tabs>
          <w:tab w:val="left" w:pos="3870"/>
          <w:tab w:val="left" w:pos="4085"/>
        </w:tabs>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）投标报价明细表（格式见“第六章投标文件格式”）；</w:t>
      </w:r>
    </w:p>
    <w:p>
      <w:pPr>
        <w:tabs>
          <w:tab w:val="left" w:pos="3870"/>
          <w:tab w:val="left" w:pos="4085"/>
        </w:tabs>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）投标人针对报价需要说明的其他文件和说明（格式自拟）。</w:t>
      </w:r>
    </w:p>
    <w:p>
      <w:pPr>
        <w:tabs>
          <w:tab w:val="left" w:pos="3870"/>
          <w:tab w:val="left" w:pos="4085"/>
        </w:tabs>
        <w:snapToGrid w:val="0"/>
        <w:spacing w:line="400" w:lineRule="exact"/>
        <w:ind w:firstLine="440" w:firstLineChars="200"/>
        <w:jc w:val="left"/>
        <w:rPr>
          <w:rFonts w:asci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）开标一览表（单独封装，格式见“第六章投标文件格式”）；</w:t>
      </w:r>
    </w:p>
    <w:p>
      <w:pPr>
        <w:pStyle w:val="6"/>
        <w:spacing w:after="0" w:line="400" w:lineRule="exact"/>
        <w:ind w:firstLine="442" w:firstLineChars="200"/>
        <w:rPr>
          <w:rFonts w:ascii="宋体"/>
          <w:sz w:val="22"/>
          <w:szCs w:val="22"/>
        </w:rPr>
      </w:pPr>
      <w:r>
        <w:rPr>
          <w:rFonts w:hint="eastAsia" w:ascii="宋体" w:hAnsi="宋体"/>
          <w:b/>
          <w:bCs/>
          <w:sz w:val="22"/>
          <w:szCs w:val="22"/>
        </w:rPr>
        <w:t>注：法定代表人授权委托书、投标声明书、投标函、开标一览表必须由法定代表人或授权代表签名并加盖单位公章。</w:t>
      </w:r>
    </w:p>
    <w:p>
      <w:pPr>
        <w:snapToGrid w:val="0"/>
        <w:spacing w:line="440" w:lineRule="exact"/>
        <w:ind w:firstLine="433" w:firstLineChars="196"/>
        <w:jc w:val="left"/>
        <w:outlineLvl w:val="0"/>
        <w:rPr>
          <w:rFonts w:ascii="宋体"/>
          <w:b/>
          <w:sz w:val="22"/>
          <w:szCs w:val="22"/>
        </w:rPr>
      </w:pPr>
      <w:r>
        <w:rPr>
          <w:rFonts w:hint="eastAsia" w:ascii="宋体" w:hAnsi="宋体"/>
          <w:b/>
          <w:sz w:val="22"/>
          <w:szCs w:val="22"/>
        </w:rPr>
        <w:t>（二）投标文件的语言及计量</w:t>
      </w:r>
      <w:bookmarkEnd w:id="85"/>
      <w:bookmarkEnd w:id="86"/>
    </w:p>
    <w:p>
      <w:pPr>
        <w:snapToGrid w:val="0"/>
        <w:spacing w:line="440" w:lineRule="exact"/>
        <w:ind w:firstLine="440" w:firstLineChars="200"/>
        <w:jc w:val="left"/>
        <w:rPr>
          <w:rFonts w:ascii="宋体"/>
          <w:sz w:val="22"/>
          <w:szCs w:val="22"/>
        </w:rPr>
      </w:pPr>
      <w:r>
        <w:rPr>
          <w:rFonts w:ascii="宋体" w:hAnsi="宋体"/>
          <w:sz w:val="22"/>
          <w:szCs w:val="22"/>
        </w:rPr>
        <w:t>1.</w:t>
      </w:r>
      <w:r>
        <w:rPr>
          <w:rFonts w:hint="eastAsia" w:ascii="宋体" w:hAnsi="宋体"/>
          <w:sz w:val="22"/>
          <w:szCs w:val="22"/>
        </w:rPr>
        <w:t>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40" w:firstLineChars="200"/>
        <w:jc w:val="left"/>
        <w:rPr>
          <w:rFonts w:ascii="宋体"/>
          <w:sz w:val="22"/>
          <w:szCs w:val="22"/>
        </w:rPr>
      </w:pPr>
      <w:r>
        <w:rPr>
          <w:rFonts w:ascii="宋体" w:hAnsi="宋体"/>
          <w:sz w:val="22"/>
          <w:szCs w:val="22"/>
        </w:rPr>
        <w:t>2</w:t>
      </w:r>
      <w:r>
        <w:rPr>
          <w:rFonts w:hint="eastAsia" w:ascii="宋体" w:hAnsi="宋体"/>
          <w:sz w:val="22"/>
          <w:szCs w:val="22"/>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40" w:lineRule="exact"/>
        <w:ind w:firstLine="433" w:firstLineChars="196"/>
        <w:jc w:val="left"/>
        <w:outlineLvl w:val="0"/>
        <w:rPr>
          <w:rFonts w:ascii="宋体"/>
          <w:b/>
          <w:sz w:val="22"/>
          <w:szCs w:val="22"/>
        </w:rPr>
      </w:pPr>
      <w:bookmarkStart w:id="87" w:name="_Toc254970679"/>
      <w:bookmarkStart w:id="88" w:name="_Toc254970538"/>
      <w:r>
        <w:rPr>
          <w:rFonts w:hint="eastAsia" w:ascii="宋体" w:hAnsi="宋体"/>
          <w:b/>
          <w:sz w:val="22"/>
          <w:szCs w:val="22"/>
        </w:rPr>
        <w:t>（三）投标报价</w:t>
      </w:r>
      <w:bookmarkEnd w:id="87"/>
      <w:bookmarkEnd w:id="88"/>
    </w:p>
    <w:p>
      <w:pPr>
        <w:pStyle w:val="4"/>
        <w:snapToGrid w:val="0"/>
        <w:spacing w:line="440" w:lineRule="exact"/>
        <w:ind w:firstLine="440" w:firstLineChars="200"/>
        <w:jc w:val="left"/>
        <w:rPr>
          <w:rFonts w:hAnsi="宋体"/>
          <w:sz w:val="22"/>
          <w:szCs w:val="22"/>
        </w:rPr>
      </w:pPr>
      <w:r>
        <w:rPr>
          <w:rFonts w:hAnsi="宋体"/>
          <w:sz w:val="22"/>
          <w:szCs w:val="22"/>
        </w:rPr>
        <w:t>1.</w:t>
      </w:r>
      <w:r>
        <w:rPr>
          <w:rFonts w:hint="eastAsia" w:hAnsi="宋体"/>
          <w:sz w:val="22"/>
          <w:szCs w:val="22"/>
        </w:rPr>
        <w:t>投标报价应按招标文件中相关附表格式填写。</w:t>
      </w:r>
    </w:p>
    <w:p>
      <w:pPr>
        <w:pStyle w:val="4"/>
        <w:snapToGrid w:val="0"/>
        <w:spacing w:line="440" w:lineRule="exact"/>
        <w:ind w:firstLine="440" w:firstLineChars="200"/>
        <w:jc w:val="left"/>
        <w:rPr>
          <w:rFonts w:hAnsi="宋体"/>
          <w:sz w:val="22"/>
          <w:szCs w:val="22"/>
        </w:rPr>
      </w:pPr>
      <w:r>
        <w:rPr>
          <w:rFonts w:hAnsi="宋体"/>
          <w:sz w:val="22"/>
          <w:szCs w:val="22"/>
        </w:rPr>
        <w:t>2.</w:t>
      </w:r>
      <w:r>
        <w:rPr>
          <w:rFonts w:hint="eastAsia" w:hAnsi="宋体"/>
          <w:sz w:val="22"/>
          <w:szCs w:val="22"/>
        </w:rPr>
        <w:t>投标报价是履行合同的最终价格，应包括货款、标准附件、备品备件、专用工具、包装、运输、装卸、保险、税金、货到就位以及安装、调试、培训、保修等一切税金和费用。</w:t>
      </w:r>
    </w:p>
    <w:p>
      <w:pPr>
        <w:tabs>
          <w:tab w:val="left" w:pos="525"/>
        </w:tabs>
        <w:snapToGrid w:val="0"/>
        <w:spacing w:line="440" w:lineRule="exact"/>
        <w:ind w:firstLine="440" w:firstLineChars="200"/>
        <w:jc w:val="left"/>
        <w:rPr>
          <w:rFonts w:ascii="宋体"/>
          <w:sz w:val="22"/>
          <w:szCs w:val="22"/>
        </w:rPr>
      </w:pPr>
      <w:r>
        <w:rPr>
          <w:rFonts w:ascii="宋体" w:hAnsi="宋体"/>
          <w:sz w:val="22"/>
          <w:szCs w:val="22"/>
        </w:rPr>
        <w:t>3.</w:t>
      </w:r>
      <w:r>
        <w:rPr>
          <w:rFonts w:hint="eastAsia" w:ascii="宋体" w:hAnsi="宋体"/>
          <w:sz w:val="22"/>
          <w:szCs w:val="22"/>
        </w:rPr>
        <w:t>投标文件只允许有一个报价，有选择的或有条件的报价将不予接受。</w:t>
      </w:r>
    </w:p>
    <w:p>
      <w:pPr>
        <w:pStyle w:val="2"/>
        <w:widowControl w:val="0"/>
        <w:tabs>
          <w:tab w:val="left" w:pos="720"/>
          <w:tab w:val="left" w:pos="840"/>
        </w:tabs>
        <w:snapToGrid w:val="0"/>
        <w:spacing w:before="120" w:beforeLines="50" w:afterLines="0" w:line="440" w:lineRule="exact"/>
        <w:ind w:left="0" w:firstLine="433" w:firstLineChars="196"/>
        <w:rPr>
          <w:rFonts w:ascii="宋体"/>
          <w:b/>
          <w:sz w:val="22"/>
          <w:szCs w:val="22"/>
        </w:rPr>
      </w:pPr>
      <w:r>
        <w:rPr>
          <w:rFonts w:hint="eastAsia" w:ascii="宋体" w:hAnsi="宋体"/>
          <w:b/>
          <w:sz w:val="22"/>
          <w:szCs w:val="22"/>
        </w:rPr>
        <w:t>（四）投标文件的有效期</w:t>
      </w:r>
    </w:p>
    <w:p>
      <w:pPr>
        <w:pStyle w:val="2"/>
        <w:widowControl w:val="0"/>
        <w:tabs>
          <w:tab w:val="left" w:pos="720"/>
          <w:tab w:val="left" w:pos="840"/>
        </w:tabs>
        <w:snapToGrid w:val="0"/>
        <w:spacing w:afterLines="0" w:line="440" w:lineRule="exact"/>
        <w:ind w:left="0" w:firstLine="440" w:firstLineChars="200"/>
        <w:rPr>
          <w:rFonts w:ascii="宋体"/>
          <w:sz w:val="22"/>
          <w:szCs w:val="22"/>
        </w:rPr>
      </w:pPr>
      <w:r>
        <w:rPr>
          <w:rFonts w:ascii="宋体" w:hAnsi="宋体"/>
          <w:sz w:val="22"/>
          <w:szCs w:val="22"/>
        </w:rPr>
        <w:t>1.</w:t>
      </w:r>
      <w:r>
        <w:rPr>
          <w:rFonts w:hint="eastAsia" w:ascii="宋体" w:hAnsi="宋体"/>
          <w:sz w:val="22"/>
          <w:szCs w:val="22"/>
        </w:rPr>
        <w:t>自投标截止日起</w:t>
      </w:r>
      <w:r>
        <w:rPr>
          <w:rFonts w:ascii="宋体" w:hAnsi="宋体"/>
          <w:sz w:val="22"/>
          <w:szCs w:val="22"/>
          <w:u w:val="single"/>
        </w:rPr>
        <w:t>60</w:t>
      </w:r>
      <w:r>
        <w:rPr>
          <w:rFonts w:hint="eastAsia" w:ascii="宋体" w:hAnsi="宋体"/>
          <w:sz w:val="22"/>
          <w:szCs w:val="22"/>
        </w:rPr>
        <w:t>天投标文件应保持有效。有效期不足的投标文件将被拒绝。</w:t>
      </w:r>
    </w:p>
    <w:p>
      <w:pPr>
        <w:pStyle w:val="2"/>
        <w:widowControl w:val="0"/>
        <w:tabs>
          <w:tab w:val="left" w:pos="720"/>
          <w:tab w:val="left" w:pos="840"/>
        </w:tabs>
        <w:snapToGrid w:val="0"/>
        <w:spacing w:afterLines="0" w:line="440" w:lineRule="exact"/>
        <w:ind w:left="0" w:firstLine="440" w:firstLineChars="200"/>
        <w:rPr>
          <w:rFonts w:ascii="宋体"/>
          <w:sz w:val="22"/>
          <w:szCs w:val="22"/>
        </w:rPr>
      </w:pPr>
      <w:r>
        <w:rPr>
          <w:rFonts w:ascii="宋体" w:hAnsi="宋体"/>
          <w:sz w:val="22"/>
          <w:szCs w:val="22"/>
        </w:rPr>
        <w:t>2.</w:t>
      </w:r>
      <w:r>
        <w:rPr>
          <w:rFonts w:hint="eastAsia" w:ascii="宋体" w:hAnsi="宋体"/>
          <w:sz w:val="22"/>
          <w:szCs w:val="22"/>
        </w:rPr>
        <w:t>在特殊情况下，招标人可与投标人协商延长投标书的有效期，这种要求和答复均以书面形式进行。</w:t>
      </w:r>
    </w:p>
    <w:p>
      <w:pPr>
        <w:snapToGrid w:val="0"/>
        <w:spacing w:line="440" w:lineRule="exact"/>
        <w:ind w:firstLine="440" w:firstLineChars="200"/>
        <w:jc w:val="left"/>
        <w:outlineLvl w:val="0"/>
        <w:rPr>
          <w:rFonts w:ascii="宋体"/>
          <w:b/>
          <w:sz w:val="22"/>
          <w:szCs w:val="22"/>
        </w:rPr>
      </w:pPr>
      <w:bookmarkStart w:id="89" w:name="_Toc254970539"/>
      <w:bookmarkStart w:id="90" w:name="_Toc254970680"/>
      <w:r>
        <w:rPr>
          <w:rFonts w:ascii="宋体" w:hAnsi="宋体"/>
          <w:sz w:val="22"/>
          <w:szCs w:val="22"/>
        </w:rPr>
        <w:t>3.</w:t>
      </w:r>
      <w:r>
        <w:rPr>
          <w:rFonts w:hint="eastAsia" w:ascii="宋体" w:hAnsi="宋体"/>
          <w:sz w:val="22"/>
          <w:szCs w:val="22"/>
        </w:rPr>
        <w:t>投标人可拒绝接受延期要求而不会导致投标保证金被没收。同意延长有效期的投标人需要相应延长投标保证金的有效期，但不能修改投标文件。</w:t>
      </w:r>
      <w:bookmarkEnd w:id="89"/>
      <w:bookmarkEnd w:id="90"/>
      <w:r>
        <w:rPr>
          <w:rFonts w:ascii="宋体" w:hAnsi="宋体"/>
          <w:b/>
          <w:sz w:val="22"/>
          <w:szCs w:val="22"/>
        </w:rPr>
        <w:t xml:space="preserve"> </w:t>
      </w:r>
    </w:p>
    <w:p>
      <w:pPr>
        <w:snapToGrid w:val="0"/>
        <w:spacing w:line="440" w:lineRule="exact"/>
        <w:ind w:firstLine="440" w:firstLineChars="200"/>
        <w:jc w:val="left"/>
        <w:outlineLvl w:val="0"/>
        <w:rPr>
          <w:rFonts w:ascii="宋体"/>
          <w:b/>
          <w:sz w:val="22"/>
          <w:szCs w:val="22"/>
        </w:rPr>
      </w:pPr>
      <w:bookmarkStart w:id="91" w:name="_Toc254970540"/>
      <w:bookmarkStart w:id="92" w:name="_Toc254970681"/>
      <w:r>
        <w:rPr>
          <w:rFonts w:ascii="宋体" w:hAnsi="宋体"/>
          <w:sz w:val="22"/>
          <w:szCs w:val="22"/>
        </w:rPr>
        <w:t>4.</w:t>
      </w:r>
      <w:r>
        <w:rPr>
          <w:rFonts w:hint="eastAsia" w:ascii="宋体" w:hAnsi="宋体"/>
          <w:sz w:val="22"/>
          <w:szCs w:val="22"/>
        </w:rPr>
        <w:t>中标人的投标文件自开标之日起至合同履行完毕止均应保持有效。</w:t>
      </w:r>
      <w:bookmarkEnd w:id="91"/>
      <w:bookmarkEnd w:id="92"/>
    </w:p>
    <w:p>
      <w:pPr>
        <w:snapToGrid w:val="0"/>
        <w:spacing w:before="120" w:beforeLines="50" w:line="440" w:lineRule="exact"/>
        <w:ind w:firstLine="433" w:firstLineChars="196"/>
        <w:jc w:val="left"/>
        <w:outlineLvl w:val="0"/>
        <w:rPr>
          <w:rFonts w:ascii="宋体"/>
          <w:b/>
          <w:sz w:val="22"/>
          <w:szCs w:val="22"/>
        </w:rPr>
      </w:pPr>
      <w:bookmarkStart w:id="93" w:name="_Toc254970542"/>
      <w:bookmarkStart w:id="94" w:name="_Toc254970683"/>
      <w:r>
        <w:rPr>
          <w:rFonts w:hint="eastAsia" w:ascii="宋体" w:hAnsi="宋体"/>
          <w:b/>
          <w:sz w:val="22"/>
          <w:szCs w:val="22"/>
        </w:rPr>
        <w:t>（五）投标文件的签署和份数</w:t>
      </w:r>
      <w:bookmarkEnd w:id="93"/>
      <w:bookmarkEnd w:id="94"/>
    </w:p>
    <w:p>
      <w:pPr>
        <w:snapToGrid w:val="0"/>
        <w:spacing w:line="440" w:lineRule="exact"/>
        <w:ind w:firstLine="440" w:firstLineChars="200"/>
        <w:jc w:val="left"/>
        <w:rPr>
          <w:rFonts w:ascii="宋体"/>
          <w:sz w:val="22"/>
          <w:szCs w:val="22"/>
        </w:rPr>
      </w:pPr>
      <w:r>
        <w:rPr>
          <w:rFonts w:ascii="宋体" w:hAnsi="宋体"/>
          <w:sz w:val="22"/>
          <w:szCs w:val="22"/>
        </w:rPr>
        <w:t>1.</w:t>
      </w:r>
      <w:r>
        <w:rPr>
          <w:rFonts w:hint="eastAsia" w:ascii="宋体" w:hAnsi="宋体"/>
          <w:sz w:val="22"/>
          <w:szCs w:val="22"/>
        </w:rPr>
        <w:t>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40" w:firstLineChars="200"/>
        <w:jc w:val="left"/>
        <w:rPr>
          <w:rFonts w:ascii="宋体"/>
          <w:sz w:val="22"/>
          <w:szCs w:val="22"/>
        </w:rPr>
      </w:pPr>
      <w:r>
        <w:rPr>
          <w:rFonts w:ascii="宋体" w:hAnsi="宋体"/>
          <w:sz w:val="22"/>
          <w:szCs w:val="22"/>
        </w:rPr>
        <w:t>2.</w:t>
      </w:r>
      <w:r>
        <w:rPr>
          <w:rFonts w:hint="eastAsia" w:ascii="宋体" w:hAnsi="宋体"/>
          <w:sz w:val="22"/>
          <w:szCs w:val="22"/>
        </w:rPr>
        <w:t>投标人应按资信及商务文件、技术文件、投标报价文件正本各</w:t>
      </w:r>
      <w:r>
        <w:rPr>
          <w:rFonts w:ascii="宋体" w:hAnsi="宋体"/>
          <w:sz w:val="22"/>
          <w:szCs w:val="22"/>
        </w:rPr>
        <w:t>1</w:t>
      </w:r>
      <w:r>
        <w:rPr>
          <w:rFonts w:hint="eastAsia" w:ascii="宋体" w:hAnsi="宋体"/>
          <w:sz w:val="22"/>
          <w:szCs w:val="22"/>
        </w:rPr>
        <w:t>份，副本各</w:t>
      </w:r>
      <w:r>
        <w:rPr>
          <w:rFonts w:ascii="宋体" w:hAnsi="宋体"/>
          <w:sz w:val="22"/>
          <w:szCs w:val="22"/>
          <w:u w:val="single"/>
        </w:rPr>
        <w:t>2</w:t>
      </w:r>
      <w:r>
        <w:rPr>
          <w:rFonts w:hint="eastAsia" w:ascii="宋体" w:hAnsi="宋体"/>
          <w:sz w:val="22"/>
          <w:szCs w:val="22"/>
        </w:rPr>
        <w:t>份分别编制并单独装订成册，投标文件的封面应注明“正本”、“副本”字样。活页装订的投标文件将被拒绝。</w:t>
      </w:r>
    </w:p>
    <w:p>
      <w:pPr>
        <w:snapToGrid w:val="0"/>
        <w:spacing w:line="440" w:lineRule="exact"/>
        <w:ind w:firstLine="440" w:firstLineChars="200"/>
        <w:jc w:val="left"/>
        <w:rPr>
          <w:rFonts w:ascii="宋体"/>
          <w:sz w:val="22"/>
          <w:szCs w:val="22"/>
        </w:rPr>
      </w:pPr>
      <w:r>
        <w:rPr>
          <w:rFonts w:ascii="宋体" w:hAnsi="宋体"/>
          <w:sz w:val="22"/>
          <w:szCs w:val="22"/>
        </w:rPr>
        <w:t>3.</w:t>
      </w:r>
      <w:r>
        <w:rPr>
          <w:rFonts w:hint="eastAsia" w:ascii="宋体" w:hAnsi="宋体"/>
          <w:sz w:val="22"/>
          <w:szCs w:val="22"/>
        </w:rPr>
        <w:t>投标文件的正本需打印或用不褪色的墨水填写，投标文件正本除本《投标人须知》中规定的可提供复印件外均须提供原件。副本为正本的复印件。</w:t>
      </w:r>
    </w:p>
    <w:p>
      <w:pPr>
        <w:snapToGrid w:val="0"/>
        <w:spacing w:line="440" w:lineRule="exact"/>
        <w:ind w:firstLine="440" w:firstLineChars="200"/>
        <w:jc w:val="left"/>
        <w:rPr>
          <w:rFonts w:ascii="宋体"/>
          <w:sz w:val="22"/>
          <w:szCs w:val="22"/>
        </w:rPr>
      </w:pPr>
      <w:r>
        <w:rPr>
          <w:rFonts w:ascii="宋体" w:hAnsi="宋体"/>
          <w:sz w:val="22"/>
          <w:szCs w:val="22"/>
        </w:rPr>
        <w:t>4.</w:t>
      </w:r>
      <w:r>
        <w:rPr>
          <w:rFonts w:hint="eastAsia" w:ascii="宋体" w:hAnsi="宋体"/>
          <w:sz w:val="22"/>
          <w:szCs w:val="22"/>
        </w:rPr>
        <w:t>投标文件须由投标人在规定位置盖章并由法定代表人或法定代表人的授权委托人签署，投标人应写全称。</w:t>
      </w:r>
    </w:p>
    <w:p>
      <w:pPr>
        <w:snapToGrid w:val="0"/>
        <w:spacing w:line="440" w:lineRule="exact"/>
        <w:ind w:firstLine="440" w:firstLineChars="200"/>
        <w:jc w:val="left"/>
        <w:rPr>
          <w:rFonts w:ascii="宋体"/>
          <w:sz w:val="22"/>
          <w:szCs w:val="22"/>
        </w:rPr>
      </w:pPr>
      <w:r>
        <w:rPr>
          <w:rFonts w:ascii="宋体" w:hAnsi="宋体"/>
          <w:sz w:val="22"/>
          <w:szCs w:val="22"/>
        </w:rPr>
        <w:t>5.</w:t>
      </w:r>
      <w:r>
        <w:rPr>
          <w:rFonts w:hint="eastAsia" w:ascii="宋体" w:hAnsi="宋体"/>
          <w:sz w:val="22"/>
          <w:szCs w:val="22"/>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40" w:lineRule="exact"/>
        <w:ind w:firstLine="325" w:firstLineChars="147"/>
        <w:jc w:val="left"/>
        <w:rPr>
          <w:rFonts w:ascii="宋体"/>
          <w:b/>
          <w:sz w:val="22"/>
          <w:szCs w:val="22"/>
        </w:rPr>
      </w:pPr>
      <w:r>
        <w:rPr>
          <w:rFonts w:hint="eastAsia" w:ascii="宋体" w:hAnsi="宋体"/>
          <w:b/>
          <w:sz w:val="22"/>
          <w:szCs w:val="22"/>
        </w:rPr>
        <w:t>（六）投标文件的包装、递交、修改和撤回</w:t>
      </w:r>
    </w:p>
    <w:p>
      <w:pPr>
        <w:snapToGrid w:val="0"/>
        <w:spacing w:line="440" w:lineRule="exact"/>
        <w:ind w:firstLine="420"/>
        <w:jc w:val="left"/>
        <w:rPr>
          <w:rFonts w:ascii="宋体"/>
          <w:sz w:val="22"/>
          <w:szCs w:val="22"/>
        </w:rPr>
      </w:pPr>
      <w:r>
        <w:rPr>
          <w:rFonts w:ascii="宋体" w:hAnsi="宋体"/>
          <w:sz w:val="22"/>
          <w:szCs w:val="22"/>
        </w:rPr>
        <w:t>1.</w:t>
      </w:r>
      <w:r>
        <w:rPr>
          <w:rFonts w:hint="eastAsia" w:ascii="宋体" w:hAnsi="宋体"/>
          <w:sz w:val="22"/>
          <w:szCs w:val="22"/>
        </w:rPr>
        <w:t>投标人应按资信及商务文件、技术文件、投标报价文件三部分密封封装投标文件（各部分的文件先单独包装，然后三部分的所有文件包装在一起），其中《开标一览表》（格式见附件）应单独用小信封密封。投标文件的包装封面上应注明投标人名称、投标人地址、投标文件名称（资信</w:t>
      </w:r>
      <w:r>
        <w:rPr>
          <w:rFonts w:ascii="宋体" w:hAnsi="宋体"/>
          <w:sz w:val="22"/>
          <w:szCs w:val="22"/>
        </w:rPr>
        <w:t>/</w:t>
      </w:r>
      <w:r>
        <w:rPr>
          <w:rFonts w:hint="eastAsia" w:ascii="宋体" w:hAnsi="宋体"/>
          <w:sz w:val="22"/>
          <w:szCs w:val="22"/>
        </w:rPr>
        <w:t>商务文件或者技术文件、报价文件、开标一览表等）、投标项目名称、项目编号及“开标时启封”字样，并加盖投标人公章。</w:t>
      </w:r>
    </w:p>
    <w:p>
      <w:pPr>
        <w:snapToGrid w:val="0"/>
        <w:spacing w:line="440" w:lineRule="exact"/>
        <w:ind w:firstLine="420"/>
        <w:jc w:val="left"/>
        <w:rPr>
          <w:rFonts w:ascii="宋体"/>
          <w:sz w:val="22"/>
          <w:szCs w:val="22"/>
        </w:rPr>
      </w:pPr>
      <w:r>
        <w:rPr>
          <w:rFonts w:ascii="宋体" w:hAnsi="宋体"/>
          <w:sz w:val="22"/>
          <w:szCs w:val="22"/>
        </w:rPr>
        <w:t>2.</w:t>
      </w:r>
      <w:r>
        <w:rPr>
          <w:rFonts w:hint="eastAsia" w:ascii="宋体" w:hAnsi="宋体"/>
          <w:sz w:val="22"/>
          <w:szCs w:val="22"/>
        </w:rPr>
        <w:t>逾期送达或投标文件的包装未按要求密封、盖章、标记将予以拒收或作无效投标文件处理，由此造成的风险由投标人承担。</w:t>
      </w:r>
    </w:p>
    <w:p>
      <w:pPr>
        <w:snapToGrid w:val="0"/>
        <w:spacing w:line="440" w:lineRule="exact"/>
        <w:ind w:firstLine="420"/>
        <w:jc w:val="left"/>
        <w:rPr>
          <w:rFonts w:ascii="宋体"/>
          <w:sz w:val="22"/>
          <w:szCs w:val="22"/>
        </w:rPr>
      </w:pPr>
      <w:r>
        <w:rPr>
          <w:rFonts w:ascii="宋体" w:hAnsi="宋体"/>
          <w:sz w:val="22"/>
          <w:szCs w:val="22"/>
        </w:rPr>
        <w:t>3.</w:t>
      </w:r>
      <w:r>
        <w:rPr>
          <w:rFonts w:hint="eastAsia" w:ascii="宋体" w:hAnsi="宋体"/>
          <w:sz w:val="22"/>
          <w:szCs w:val="22"/>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40" w:lineRule="exact"/>
        <w:ind w:firstLine="433" w:firstLineChars="196"/>
        <w:outlineLvl w:val="2"/>
        <w:rPr>
          <w:rFonts w:ascii="宋体"/>
          <w:b/>
          <w:sz w:val="22"/>
          <w:szCs w:val="22"/>
        </w:rPr>
      </w:pPr>
      <w:bookmarkStart w:id="95" w:name="_Toc254970543"/>
      <w:bookmarkStart w:id="96" w:name="_Toc254970684"/>
      <w:r>
        <w:rPr>
          <w:rFonts w:hint="eastAsia" w:ascii="宋体" w:hAnsi="宋体"/>
          <w:b/>
          <w:sz w:val="22"/>
          <w:szCs w:val="22"/>
        </w:rPr>
        <w:t>（七）投标无效的情形</w:t>
      </w:r>
      <w:bookmarkEnd w:id="95"/>
      <w:bookmarkEnd w:id="96"/>
    </w:p>
    <w:p>
      <w:pPr>
        <w:snapToGrid w:val="0"/>
        <w:spacing w:line="440" w:lineRule="exact"/>
        <w:ind w:firstLine="440" w:firstLineChars="200"/>
        <w:rPr>
          <w:rFonts w:ascii="宋体"/>
          <w:bCs/>
          <w:sz w:val="22"/>
          <w:szCs w:val="22"/>
        </w:rPr>
      </w:pPr>
      <w:r>
        <w:rPr>
          <w:rFonts w:hint="eastAsia" w:ascii="宋体" w:hAnsi="宋体"/>
          <w:bCs/>
          <w:sz w:val="22"/>
          <w:szCs w:val="22"/>
        </w:rPr>
        <w:t>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33" w:firstLineChars="196"/>
        <w:rPr>
          <w:rFonts w:ascii="宋体"/>
          <w:b/>
          <w:bCs/>
          <w:sz w:val="22"/>
          <w:szCs w:val="22"/>
        </w:rPr>
      </w:pPr>
      <w:r>
        <w:rPr>
          <w:rFonts w:ascii="宋体" w:hAnsi="宋体"/>
          <w:b/>
          <w:bCs/>
          <w:sz w:val="22"/>
          <w:szCs w:val="22"/>
        </w:rPr>
        <w:t>1.</w:t>
      </w:r>
      <w:r>
        <w:rPr>
          <w:rFonts w:hint="eastAsia" w:ascii="宋体" w:hAnsi="宋体"/>
          <w:b/>
          <w:bCs/>
          <w:sz w:val="22"/>
          <w:szCs w:val="22"/>
        </w:rPr>
        <w:t>在符合性审查和</w:t>
      </w:r>
      <w:r>
        <w:rPr>
          <w:rFonts w:hint="eastAsia" w:ascii="宋体" w:hAnsi="宋体" w:cs="Courier New"/>
          <w:b/>
          <w:bCs/>
          <w:sz w:val="22"/>
          <w:szCs w:val="22"/>
        </w:rPr>
        <w:t>资格性审查时</w:t>
      </w:r>
      <w:r>
        <w:rPr>
          <w:rFonts w:hint="eastAsia" w:ascii="宋体" w:hAnsi="宋体"/>
          <w:b/>
          <w:bCs/>
          <w:sz w:val="22"/>
          <w:szCs w:val="22"/>
        </w:rPr>
        <w:t>，如发现下列情形之一的，投标文件将被视为无效：</w:t>
      </w:r>
    </w:p>
    <w:p>
      <w:pPr>
        <w:snapToGrid w:val="0"/>
        <w:spacing w:line="440" w:lineRule="exact"/>
        <w:ind w:firstLine="431" w:firstLineChars="196"/>
        <w:rPr>
          <w:rFonts w:asci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w:t>
      </w:r>
      <w:r>
        <w:rPr>
          <w:rFonts w:hint="eastAsia" w:ascii="宋体" w:hAnsi="宋体" w:cs="仿宋_GB2312"/>
          <w:sz w:val="22"/>
          <w:szCs w:val="22"/>
        </w:rPr>
        <w:t>超越了按照法律法规规定必须获得行政许可或者行政审批的经营范围的</w:t>
      </w:r>
      <w:r>
        <w:rPr>
          <w:rFonts w:hint="eastAsia" w:ascii="宋体" w:hAnsi="宋体"/>
          <w:sz w:val="22"/>
          <w:szCs w:val="22"/>
        </w:rPr>
        <w:t>。</w:t>
      </w:r>
    </w:p>
    <w:p>
      <w:pPr>
        <w:snapToGrid w:val="0"/>
        <w:spacing w:line="440" w:lineRule="exact"/>
        <w:ind w:firstLine="431" w:firstLineChars="196"/>
        <w:rPr>
          <w:rFonts w:asci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）资格证明文件不全的，或者不符合招标文件标明的资格要求的。</w:t>
      </w:r>
    </w:p>
    <w:p>
      <w:pPr>
        <w:snapToGrid w:val="0"/>
        <w:spacing w:line="440" w:lineRule="exact"/>
        <w:ind w:firstLine="431" w:firstLineChars="196"/>
        <w:rPr>
          <w:rFonts w:asci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）投标文件无法定代表人或其授权委托代理人签字，或未</w:t>
      </w:r>
      <w:r>
        <w:rPr>
          <w:rFonts w:hint="eastAsia" w:ascii="宋体" w:hAnsi="宋体"/>
          <w:bCs/>
          <w:kern w:val="0"/>
          <w:sz w:val="22"/>
          <w:szCs w:val="22"/>
        </w:rPr>
        <w:t>提供法定代表人授权委托书、投标声明书或者填写实质性要求项目不齐全的</w:t>
      </w:r>
      <w:r>
        <w:rPr>
          <w:rFonts w:hint="eastAsia" w:ascii="宋体" w:hAnsi="宋体"/>
          <w:sz w:val="22"/>
          <w:szCs w:val="22"/>
        </w:rPr>
        <w:t>；</w:t>
      </w:r>
    </w:p>
    <w:p>
      <w:pPr>
        <w:snapToGrid w:val="0"/>
        <w:spacing w:line="440" w:lineRule="exact"/>
        <w:ind w:firstLine="431" w:firstLineChars="196"/>
        <w:rPr>
          <w:rFonts w:asci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）投标代表人未能出具身份证明或与法定代表人授权委托人身份不符的。</w:t>
      </w:r>
      <w:r>
        <w:rPr>
          <w:rFonts w:ascii="宋体" w:hAnsi="宋体"/>
          <w:sz w:val="22"/>
          <w:szCs w:val="22"/>
        </w:rPr>
        <w:t xml:space="preserve"> </w:t>
      </w:r>
    </w:p>
    <w:p>
      <w:pPr>
        <w:pStyle w:val="3"/>
        <w:snapToGrid w:val="0"/>
        <w:spacing w:line="440" w:lineRule="exact"/>
        <w:ind w:firstLine="431" w:firstLineChars="196"/>
        <w:rPr>
          <w:rFonts w:ascii="宋体" w:hAnsi="宋体" w:eastAsia="宋体"/>
          <w:snapToGrid w:val="0"/>
          <w:sz w:val="22"/>
          <w:szCs w:val="22"/>
        </w:rPr>
      </w:pPr>
      <w:r>
        <w:rPr>
          <w:rFonts w:hint="eastAsia" w:ascii="宋体" w:hAnsi="宋体" w:eastAsia="宋体"/>
          <w:sz w:val="22"/>
          <w:szCs w:val="22"/>
        </w:rPr>
        <w:t>（</w:t>
      </w:r>
      <w:r>
        <w:rPr>
          <w:rFonts w:ascii="宋体" w:hAnsi="宋体" w:eastAsia="宋体"/>
          <w:snapToGrid w:val="0"/>
          <w:sz w:val="22"/>
          <w:szCs w:val="22"/>
        </w:rPr>
        <w:t>5</w:t>
      </w:r>
      <w:r>
        <w:rPr>
          <w:rFonts w:hint="eastAsia" w:ascii="宋体" w:hAnsi="宋体" w:eastAsia="宋体"/>
          <w:snapToGrid w:val="0"/>
          <w:sz w:val="22"/>
          <w:szCs w:val="22"/>
        </w:rPr>
        <w:t>）</w:t>
      </w:r>
      <w:r>
        <w:rPr>
          <w:rFonts w:hint="eastAsia" w:ascii="宋体" w:hAnsi="宋体" w:eastAsia="宋体" w:cs="仿宋_GB2312"/>
          <w:sz w:val="22"/>
          <w:szCs w:val="22"/>
        </w:rPr>
        <w:t>项目不齐全或者内容虚假的</w:t>
      </w:r>
      <w:r>
        <w:rPr>
          <w:rFonts w:hint="eastAsia" w:ascii="宋体" w:hAnsi="宋体" w:eastAsia="宋体"/>
          <w:sz w:val="22"/>
          <w:szCs w:val="22"/>
        </w:rPr>
        <w:t>。</w:t>
      </w:r>
    </w:p>
    <w:p>
      <w:pPr>
        <w:pStyle w:val="3"/>
        <w:snapToGrid w:val="0"/>
        <w:spacing w:line="440" w:lineRule="exact"/>
        <w:ind w:firstLine="431" w:firstLineChars="196"/>
        <w:rPr>
          <w:rFonts w:ascii="宋体" w:hAnsi="宋体" w:eastAsia="宋体"/>
          <w:snapToGrid w:val="0"/>
          <w:sz w:val="22"/>
          <w:szCs w:val="22"/>
        </w:rPr>
      </w:pPr>
      <w:r>
        <w:rPr>
          <w:rFonts w:hint="eastAsia" w:ascii="宋体" w:hAnsi="宋体" w:eastAsia="宋体"/>
          <w:sz w:val="22"/>
          <w:szCs w:val="22"/>
        </w:rPr>
        <w:t>（</w:t>
      </w:r>
      <w:r>
        <w:rPr>
          <w:rFonts w:ascii="宋体" w:hAnsi="宋体" w:eastAsia="宋体"/>
          <w:sz w:val="22"/>
          <w:szCs w:val="22"/>
        </w:rPr>
        <w:t>6</w:t>
      </w:r>
      <w:r>
        <w:rPr>
          <w:rFonts w:hint="eastAsia" w:ascii="宋体" w:hAnsi="宋体" w:eastAsia="宋体"/>
          <w:sz w:val="22"/>
          <w:szCs w:val="22"/>
        </w:rPr>
        <w:t>）</w:t>
      </w:r>
      <w:r>
        <w:rPr>
          <w:rFonts w:hint="eastAsia" w:ascii="宋体" w:hAnsi="宋体" w:eastAsia="宋体" w:cs="仿宋_GB2312"/>
          <w:sz w:val="22"/>
          <w:szCs w:val="22"/>
        </w:rPr>
        <w:t>投标文件的实质性内容未使用中文表述、意思表述不明确、前后矛盾或者使用计量单位不符合招标文件要求的</w:t>
      </w:r>
      <w:r>
        <w:rPr>
          <w:rFonts w:hint="eastAsia" w:ascii="宋体" w:hAnsi="宋体" w:eastAsia="宋体"/>
          <w:sz w:val="22"/>
          <w:szCs w:val="22"/>
        </w:rPr>
        <w:t>（经评标委员会认定并允许其当场更正的笔误除外）</w:t>
      </w:r>
      <w:r>
        <w:rPr>
          <w:rFonts w:hint="eastAsia" w:ascii="宋体" w:hAnsi="宋体" w:eastAsia="宋体"/>
          <w:snapToGrid w:val="0"/>
          <w:sz w:val="22"/>
          <w:szCs w:val="22"/>
        </w:rPr>
        <w:t>。</w:t>
      </w:r>
    </w:p>
    <w:p>
      <w:pPr>
        <w:pStyle w:val="3"/>
        <w:snapToGrid w:val="0"/>
        <w:spacing w:line="440" w:lineRule="exact"/>
        <w:ind w:firstLine="431" w:firstLineChars="196"/>
        <w:rPr>
          <w:rFonts w:ascii="宋体" w:hAnsi="宋体" w:eastAsia="宋体"/>
          <w:snapToGrid w:val="0"/>
          <w:sz w:val="22"/>
          <w:szCs w:val="22"/>
        </w:rPr>
      </w:pPr>
      <w:r>
        <w:rPr>
          <w:rFonts w:hint="eastAsia" w:ascii="宋体" w:hAnsi="宋体" w:eastAsia="宋体"/>
          <w:sz w:val="22"/>
          <w:szCs w:val="22"/>
        </w:rPr>
        <w:t>（</w:t>
      </w:r>
      <w:r>
        <w:rPr>
          <w:rFonts w:ascii="宋体" w:hAnsi="宋体" w:eastAsia="宋体"/>
          <w:snapToGrid w:val="0"/>
          <w:sz w:val="22"/>
          <w:szCs w:val="22"/>
        </w:rPr>
        <w:t>7</w:t>
      </w:r>
      <w:r>
        <w:rPr>
          <w:rFonts w:hint="eastAsia" w:ascii="宋体" w:hAnsi="宋体" w:eastAsia="宋体"/>
          <w:snapToGrid w:val="0"/>
          <w:sz w:val="22"/>
          <w:szCs w:val="22"/>
        </w:rPr>
        <w:t>）投标有效期、交货时间、质保期等商务条款不能满足招标文件要求的。</w:t>
      </w:r>
    </w:p>
    <w:p>
      <w:pPr>
        <w:pStyle w:val="3"/>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8</w:t>
      </w:r>
      <w:r>
        <w:rPr>
          <w:rFonts w:hint="eastAsia" w:ascii="宋体" w:hAnsi="宋体" w:eastAsia="宋体"/>
          <w:sz w:val="22"/>
          <w:szCs w:val="22"/>
        </w:rPr>
        <w:t>）未实质性响应招标文件或不符合法律、法规要求或投标文件有招标方不能接受的附加条件的。</w:t>
      </w:r>
    </w:p>
    <w:p>
      <w:pPr>
        <w:pStyle w:val="3"/>
        <w:snapToGrid w:val="0"/>
        <w:spacing w:line="440" w:lineRule="exact"/>
        <w:ind w:firstLine="433" w:firstLineChars="196"/>
        <w:rPr>
          <w:rFonts w:ascii="宋体" w:hAnsi="宋体" w:eastAsia="宋体"/>
          <w:b/>
          <w:bCs/>
          <w:sz w:val="22"/>
          <w:szCs w:val="22"/>
        </w:rPr>
      </w:pPr>
      <w:r>
        <w:rPr>
          <w:rFonts w:ascii="宋体" w:hAnsi="宋体" w:eastAsia="宋体"/>
          <w:b/>
          <w:bCs/>
          <w:sz w:val="22"/>
          <w:szCs w:val="22"/>
        </w:rPr>
        <w:t>2.</w:t>
      </w:r>
      <w:r>
        <w:rPr>
          <w:rFonts w:hint="eastAsia" w:ascii="宋体" w:hAnsi="宋体" w:eastAsia="宋体"/>
          <w:b/>
          <w:bCs/>
          <w:sz w:val="22"/>
          <w:szCs w:val="22"/>
        </w:rPr>
        <w:t>在技术评审时，如发现下列情形之一的，投标文件将被视为无效：</w:t>
      </w:r>
    </w:p>
    <w:p>
      <w:pPr>
        <w:pStyle w:val="3"/>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1</w:t>
      </w:r>
      <w:r>
        <w:rPr>
          <w:rFonts w:hint="eastAsia" w:ascii="宋体" w:hAnsi="宋体" w:eastAsia="宋体"/>
          <w:sz w:val="22"/>
          <w:szCs w:val="22"/>
        </w:rPr>
        <w:t>）未提供或未如实提供投标货物的技术参数，或者投标文件标明的响应或偏离与事实不符或虚假投标的。</w:t>
      </w:r>
    </w:p>
    <w:p>
      <w:pPr>
        <w:pStyle w:val="3"/>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2</w:t>
      </w:r>
      <w:r>
        <w:rPr>
          <w:rFonts w:hint="eastAsia" w:ascii="宋体" w:hAnsi="宋体" w:eastAsia="宋体"/>
          <w:sz w:val="22"/>
          <w:szCs w:val="22"/>
        </w:rPr>
        <w:t>）</w:t>
      </w:r>
      <w:r>
        <w:rPr>
          <w:rFonts w:hint="eastAsia" w:ascii="宋体" w:hAnsi="宋体" w:eastAsia="宋体"/>
          <w:snapToGrid w:val="0"/>
          <w:sz w:val="22"/>
          <w:szCs w:val="22"/>
        </w:rPr>
        <w:t>明显不符合招标文件要求的规格型号、质量标准，或者与</w:t>
      </w:r>
      <w:r>
        <w:rPr>
          <w:rFonts w:hint="eastAsia" w:ascii="宋体" w:hAnsi="宋体" w:eastAsia="宋体"/>
          <w:sz w:val="22"/>
          <w:szCs w:val="22"/>
        </w:rPr>
        <w:t>招标文件中的技术指标发生偏离的。</w:t>
      </w:r>
    </w:p>
    <w:p>
      <w:pPr>
        <w:pStyle w:val="3"/>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3</w:t>
      </w:r>
      <w:r>
        <w:rPr>
          <w:rFonts w:hint="eastAsia" w:ascii="宋体" w:hAnsi="宋体" w:eastAsia="宋体"/>
          <w:sz w:val="22"/>
          <w:szCs w:val="22"/>
        </w:rPr>
        <w:t>）投标技术方案不明确，存在一个或一个以上备选（替代）投标方案的。</w:t>
      </w:r>
    </w:p>
    <w:p>
      <w:pPr>
        <w:pStyle w:val="3"/>
        <w:snapToGrid w:val="0"/>
        <w:spacing w:line="360" w:lineRule="exact"/>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4</w:t>
      </w:r>
      <w:r>
        <w:rPr>
          <w:rFonts w:hint="eastAsia" w:ascii="宋体" w:hAnsi="宋体" w:eastAsia="宋体"/>
          <w:sz w:val="22"/>
          <w:szCs w:val="22"/>
        </w:rPr>
        <w:t>）与其他参加本次投标供应商的投标文件（技术文件）的文字表述内容差错相同</w:t>
      </w:r>
      <w:r>
        <w:rPr>
          <w:rFonts w:ascii="宋体" w:hAnsi="宋体" w:eastAsia="宋体"/>
          <w:sz w:val="22"/>
          <w:szCs w:val="22"/>
        </w:rPr>
        <w:t>2</w:t>
      </w:r>
      <w:r>
        <w:rPr>
          <w:rFonts w:hint="eastAsia" w:ascii="宋体" w:hAnsi="宋体" w:eastAsia="宋体"/>
          <w:sz w:val="22"/>
          <w:szCs w:val="22"/>
        </w:rPr>
        <w:t>处以上的。</w:t>
      </w:r>
    </w:p>
    <w:p>
      <w:pPr>
        <w:pStyle w:val="3"/>
        <w:snapToGrid w:val="0"/>
        <w:spacing w:line="440" w:lineRule="exact"/>
        <w:ind w:firstLine="433" w:firstLineChars="196"/>
        <w:rPr>
          <w:rFonts w:ascii="宋体" w:hAnsi="宋体" w:eastAsia="宋体"/>
          <w:b/>
          <w:bCs/>
          <w:sz w:val="22"/>
          <w:szCs w:val="22"/>
        </w:rPr>
      </w:pPr>
      <w:r>
        <w:rPr>
          <w:rFonts w:ascii="宋体" w:hAnsi="宋体" w:eastAsia="宋体"/>
          <w:b/>
          <w:bCs/>
          <w:sz w:val="22"/>
          <w:szCs w:val="22"/>
        </w:rPr>
        <w:t>3.</w:t>
      </w:r>
      <w:r>
        <w:rPr>
          <w:rFonts w:hint="eastAsia" w:ascii="宋体" w:hAnsi="宋体" w:eastAsia="宋体"/>
          <w:b/>
          <w:bCs/>
          <w:sz w:val="22"/>
          <w:szCs w:val="22"/>
        </w:rPr>
        <w:t>在报价评审时，如发现下列情形之一的，投标文件将被视为无效：</w:t>
      </w:r>
    </w:p>
    <w:p>
      <w:pPr>
        <w:pStyle w:val="3"/>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1</w:t>
      </w:r>
      <w:r>
        <w:rPr>
          <w:rFonts w:hint="eastAsia" w:ascii="宋体" w:hAnsi="宋体" w:eastAsia="宋体"/>
          <w:sz w:val="22"/>
          <w:szCs w:val="22"/>
        </w:rPr>
        <w:t>）未采用人民币报价或者未按照招标文件标明的币种报价的。</w:t>
      </w:r>
    </w:p>
    <w:p>
      <w:pPr>
        <w:pStyle w:val="3"/>
        <w:snapToGrid w:val="0"/>
        <w:spacing w:line="440" w:lineRule="exact"/>
        <w:ind w:firstLine="431" w:firstLineChars="196"/>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2</w:t>
      </w:r>
      <w:r>
        <w:rPr>
          <w:rFonts w:hint="eastAsia" w:ascii="宋体" w:hAnsi="宋体" w:eastAsia="宋体"/>
          <w:sz w:val="22"/>
          <w:szCs w:val="22"/>
        </w:rPr>
        <w:t>）报价超出最高限价，或者超出采购预算金额，采购人不能支付的或报价低于采购预算金额</w:t>
      </w:r>
      <w:r>
        <w:rPr>
          <w:rFonts w:ascii="宋体" w:hAnsi="宋体" w:eastAsia="宋体"/>
          <w:sz w:val="22"/>
          <w:szCs w:val="22"/>
        </w:rPr>
        <w:t>30%</w:t>
      </w:r>
      <w:r>
        <w:rPr>
          <w:rFonts w:hint="eastAsia" w:ascii="宋体" w:hAnsi="宋体" w:eastAsia="宋体"/>
          <w:sz w:val="22"/>
          <w:szCs w:val="22"/>
        </w:rPr>
        <w:t>及以上的。</w:t>
      </w:r>
    </w:p>
    <w:p>
      <w:pPr>
        <w:pStyle w:val="3"/>
        <w:snapToGrid w:val="0"/>
        <w:spacing w:line="440" w:lineRule="exact"/>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3</w:t>
      </w:r>
      <w:r>
        <w:rPr>
          <w:rFonts w:hint="eastAsia" w:ascii="宋体" w:hAnsi="宋体" w:eastAsia="宋体"/>
          <w:sz w:val="22"/>
          <w:szCs w:val="22"/>
        </w:rPr>
        <w:t>）投标报价具有选择性，或者开标价格与投标文件承诺的优惠（折扣）价格不一致的。</w:t>
      </w:r>
    </w:p>
    <w:p>
      <w:pPr>
        <w:pStyle w:val="3"/>
        <w:snapToGrid w:val="0"/>
        <w:spacing w:line="440" w:lineRule="exact"/>
        <w:ind w:firstLine="433" w:firstLineChars="196"/>
        <w:rPr>
          <w:rFonts w:ascii="宋体" w:hAnsi="宋体" w:eastAsia="宋体"/>
          <w:b/>
          <w:sz w:val="22"/>
          <w:szCs w:val="22"/>
        </w:rPr>
      </w:pPr>
      <w:r>
        <w:rPr>
          <w:rFonts w:ascii="宋体" w:hAnsi="宋体" w:eastAsia="宋体"/>
          <w:b/>
          <w:sz w:val="22"/>
          <w:szCs w:val="22"/>
        </w:rPr>
        <w:t>4.</w:t>
      </w:r>
      <w:r>
        <w:rPr>
          <w:rFonts w:hint="eastAsia" w:ascii="宋体" w:hAnsi="宋体" w:eastAsia="宋体"/>
          <w:b/>
          <w:sz w:val="22"/>
          <w:szCs w:val="22"/>
        </w:rPr>
        <w:t>被拒绝的投标文件为无效。</w:t>
      </w:r>
    </w:p>
    <w:p>
      <w:pPr>
        <w:pStyle w:val="3"/>
        <w:snapToGrid w:val="0"/>
        <w:spacing w:line="440" w:lineRule="exact"/>
        <w:ind w:firstLine="433" w:firstLineChars="196"/>
        <w:outlineLvl w:val="1"/>
        <w:rPr>
          <w:rFonts w:ascii="宋体" w:hAnsi="宋体" w:eastAsia="宋体"/>
          <w:b/>
          <w:snapToGrid w:val="0"/>
          <w:color w:val="FF0000"/>
          <w:sz w:val="22"/>
          <w:szCs w:val="22"/>
        </w:rPr>
      </w:pPr>
      <w:bookmarkStart w:id="97" w:name="_Toc254970544"/>
      <w:bookmarkStart w:id="98" w:name="_Toc254970685"/>
      <w:r>
        <w:rPr>
          <w:rFonts w:hint="eastAsia" w:ascii="宋体" w:hAnsi="宋体" w:eastAsia="宋体"/>
          <w:b/>
          <w:color w:val="FF0000"/>
          <w:sz w:val="22"/>
          <w:szCs w:val="22"/>
        </w:rPr>
        <w:t>四、开标</w:t>
      </w:r>
      <w:bookmarkEnd w:id="97"/>
      <w:bookmarkEnd w:id="98"/>
    </w:p>
    <w:p>
      <w:pPr>
        <w:pStyle w:val="4"/>
        <w:snapToGrid w:val="0"/>
        <w:spacing w:line="440" w:lineRule="exact"/>
        <w:ind w:firstLine="433" w:firstLineChars="196"/>
        <w:rPr>
          <w:rFonts w:hAnsi="宋体"/>
          <w:b/>
          <w:color w:val="FF0000"/>
          <w:sz w:val="22"/>
          <w:szCs w:val="22"/>
        </w:rPr>
      </w:pPr>
      <w:r>
        <w:rPr>
          <w:rFonts w:hint="eastAsia" w:hAnsi="宋体"/>
          <w:b/>
          <w:color w:val="FF0000"/>
          <w:sz w:val="22"/>
          <w:szCs w:val="22"/>
        </w:rPr>
        <w:t>（一）开标准备</w:t>
      </w:r>
    </w:p>
    <w:p>
      <w:pPr>
        <w:pStyle w:val="4"/>
        <w:snapToGrid w:val="0"/>
        <w:spacing w:line="440" w:lineRule="exact"/>
        <w:ind w:firstLine="440" w:firstLineChars="200"/>
        <w:rPr>
          <w:rFonts w:hAnsi="宋体"/>
          <w:bCs/>
          <w:color w:val="FF0000"/>
          <w:sz w:val="22"/>
          <w:szCs w:val="22"/>
        </w:rPr>
      </w:pPr>
      <w:r>
        <w:rPr>
          <w:rFonts w:hint="eastAsia" w:hAnsi="宋体"/>
          <w:bCs/>
          <w:color w:val="FF0000"/>
          <w:sz w:val="22"/>
          <w:szCs w:val="22"/>
        </w:rPr>
        <w:t>学校将在规定的时间和地点进行开标，投标人无需到场参加开标会。投标截止时间结束后，参加投标的供应商不足三家，应予废标。</w:t>
      </w:r>
    </w:p>
    <w:p>
      <w:pPr>
        <w:pStyle w:val="4"/>
        <w:snapToGrid w:val="0"/>
        <w:spacing w:line="440" w:lineRule="exact"/>
        <w:ind w:firstLine="433" w:firstLineChars="196"/>
        <w:rPr>
          <w:rFonts w:hAnsi="宋体"/>
          <w:b/>
          <w:color w:val="FF0000"/>
          <w:sz w:val="22"/>
          <w:szCs w:val="22"/>
        </w:rPr>
      </w:pPr>
      <w:r>
        <w:rPr>
          <w:rFonts w:hint="eastAsia" w:hAnsi="宋体"/>
          <w:b/>
          <w:color w:val="FF0000"/>
          <w:sz w:val="22"/>
          <w:szCs w:val="22"/>
        </w:rPr>
        <w:t>（二）</w:t>
      </w:r>
      <w:r>
        <w:rPr>
          <w:rFonts w:hAnsi="宋体"/>
          <w:b/>
          <w:color w:val="FF0000"/>
          <w:sz w:val="22"/>
          <w:szCs w:val="22"/>
        </w:rPr>
        <w:t xml:space="preserve"> </w:t>
      </w:r>
      <w:r>
        <w:rPr>
          <w:rFonts w:hint="eastAsia" w:hAnsi="宋体"/>
          <w:b/>
          <w:color w:val="FF0000"/>
          <w:sz w:val="22"/>
          <w:szCs w:val="22"/>
        </w:rPr>
        <w:t>开标程序：</w:t>
      </w:r>
    </w:p>
    <w:p>
      <w:pPr>
        <w:pStyle w:val="4"/>
        <w:snapToGrid w:val="0"/>
        <w:spacing w:line="440" w:lineRule="exact"/>
        <w:ind w:firstLine="440" w:firstLineChars="200"/>
        <w:rPr>
          <w:rFonts w:hAnsi="宋体"/>
          <w:color w:val="FF0000"/>
          <w:sz w:val="22"/>
          <w:szCs w:val="22"/>
        </w:rPr>
      </w:pPr>
      <w:r>
        <w:rPr>
          <w:rFonts w:hAnsi="宋体"/>
          <w:color w:val="FF0000"/>
          <w:sz w:val="22"/>
          <w:szCs w:val="22"/>
        </w:rPr>
        <w:t>1.</w:t>
      </w:r>
      <w:r>
        <w:rPr>
          <w:rFonts w:hint="eastAsia" w:hAnsi="宋体"/>
          <w:color w:val="FF0000"/>
          <w:sz w:val="22"/>
          <w:szCs w:val="22"/>
        </w:rPr>
        <w:t>开标会由学校财务资产处部门主持，主持人宣布开标会议开始；</w:t>
      </w:r>
    </w:p>
    <w:p>
      <w:pPr>
        <w:pStyle w:val="4"/>
        <w:snapToGrid w:val="0"/>
        <w:spacing w:line="440" w:lineRule="exact"/>
        <w:ind w:firstLine="440" w:firstLineChars="200"/>
        <w:rPr>
          <w:rFonts w:hAnsi="宋体"/>
          <w:color w:val="FF0000"/>
          <w:sz w:val="22"/>
          <w:szCs w:val="22"/>
        </w:rPr>
      </w:pPr>
      <w:r>
        <w:rPr>
          <w:rFonts w:hAnsi="宋体"/>
          <w:color w:val="FF0000"/>
          <w:sz w:val="22"/>
          <w:szCs w:val="22"/>
        </w:rPr>
        <w:t>2.</w:t>
      </w:r>
      <w:r>
        <w:rPr>
          <w:rFonts w:hint="eastAsia" w:hAnsi="宋体"/>
          <w:color w:val="FF0000"/>
          <w:sz w:val="22"/>
          <w:szCs w:val="22"/>
        </w:rPr>
        <w:t>主持人介绍参加开标会的人员名单；</w:t>
      </w:r>
      <w:r>
        <w:rPr>
          <w:rFonts w:hAnsi="宋体"/>
          <w:color w:val="FF0000"/>
          <w:sz w:val="22"/>
          <w:szCs w:val="22"/>
        </w:rPr>
        <w:t xml:space="preserve"> </w:t>
      </w:r>
    </w:p>
    <w:p>
      <w:pPr>
        <w:pStyle w:val="4"/>
        <w:snapToGrid w:val="0"/>
        <w:spacing w:line="440" w:lineRule="exact"/>
        <w:ind w:firstLine="440" w:firstLineChars="200"/>
        <w:rPr>
          <w:rFonts w:hAnsi="宋体"/>
          <w:color w:val="FF0000"/>
          <w:sz w:val="22"/>
          <w:szCs w:val="22"/>
        </w:rPr>
      </w:pPr>
      <w:r>
        <w:rPr>
          <w:rFonts w:hAnsi="宋体"/>
          <w:color w:val="FF0000"/>
          <w:sz w:val="22"/>
          <w:szCs w:val="22"/>
        </w:rPr>
        <w:t>3.</w:t>
      </w:r>
      <w:r>
        <w:rPr>
          <w:rFonts w:hint="eastAsia" w:hAnsi="宋体"/>
          <w:color w:val="FF0000"/>
          <w:sz w:val="22"/>
          <w:szCs w:val="22"/>
        </w:rPr>
        <w:t>主持人宣布评标期间的有关事项；告知应当回避的情形，提请有关人员回避。</w:t>
      </w:r>
      <w:r>
        <w:rPr>
          <w:rFonts w:hAnsi="宋体"/>
          <w:color w:val="FF0000"/>
          <w:sz w:val="22"/>
          <w:szCs w:val="22"/>
        </w:rPr>
        <w:t xml:space="preserve"> </w:t>
      </w:r>
    </w:p>
    <w:p>
      <w:pPr>
        <w:pStyle w:val="4"/>
        <w:snapToGrid w:val="0"/>
        <w:spacing w:line="440" w:lineRule="exact"/>
        <w:ind w:firstLine="440" w:firstLineChars="200"/>
        <w:rPr>
          <w:rFonts w:hAnsi="宋体"/>
          <w:color w:val="FF0000"/>
          <w:sz w:val="22"/>
          <w:szCs w:val="22"/>
        </w:rPr>
      </w:pPr>
      <w:r>
        <w:rPr>
          <w:rFonts w:hAnsi="宋体"/>
          <w:color w:val="FF0000"/>
          <w:sz w:val="22"/>
          <w:szCs w:val="22"/>
        </w:rPr>
        <w:t>5.</w:t>
      </w:r>
      <w:r>
        <w:rPr>
          <w:rFonts w:hint="eastAsia" w:hAnsi="宋体"/>
          <w:color w:val="FF0000"/>
          <w:sz w:val="22"/>
          <w:szCs w:val="22"/>
        </w:rPr>
        <w:t>按各投标人提交投标文件时间的先后顺序现场开封，打开资信</w:t>
      </w:r>
      <w:r>
        <w:rPr>
          <w:rFonts w:hAnsi="宋体"/>
          <w:color w:val="FF0000"/>
          <w:sz w:val="22"/>
          <w:szCs w:val="22"/>
        </w:rPr>
        <w:t>/</w:t>
      </w:r>
      <w:r>
        <w:rPr>
          <w:rFonts w:hint="eastAsia" w:hAnsi="宋体"/>
          <w:color w:val="FF0000"/>
          <w:sz w:val="22"/>
          <w:szCs w:val="22"/>
        </w:rPr>
        <w:t>商务文件、技术文件外包装，清点投标文件正本、副本数量；</w:t>
      </w:r>
    </w:p>
    <w:p>
      <w:pPr>
        <w:pStyle w:val="4"/>
        <w:snapToGrid w:val="0"/>
        <w:spacing w:line="440" w:lineRule="exact"/>
        <w:ind w:firstLine="440" w:firstLineChars="200"/>
        <w:rPr>
          <w:rFonts w:hAnsi="宋体"/>
          <w:color w:val="FF0000"/>
          <w:sz w:val="22"/>
          <w:szCs w:val="22"/>
        </w:rPr>
      </w:pPr>
      <w:r>
        <w:rPr>
          <w:rFonts w:hAnsi="宋体"/>
          <w:color w:val="FF0000"/>
          <w:sz w:val="22"/>
          <w:szCs w:val="22"/>
        </w:rPr>
        <w:t>6.</w:t>
      </w:r>
      <w:r>
        <w:rPr>
          <w:rFonts w:hint="eastAsia" w:hAnsi="宋体"/>
          <w:color w:val="FF0000"/>
          <w:sz w:val="22"/>
          <w:szCs w:val="22"/>
        </w:rPr>
        <w:t>唱标；</w:t>
      </w:r>
    </w:p>
    <w:p>
      <w:pPr>
        <w:pStyle w:val="4"/>
        <w:snapToGrid w:val="0"/>
        <w:spacing w:line="440" w:lineRule="exact"/>
        <w:ind w:firstLine="440" w:firstLineChars="200"/>
        <w:rPr>
          <w:rFonts w:hAnsi="宋体"/>
          <w:color w:val="FF0000"/>
          <w:sz w:val="22"/>
          <w:szCs w:val="22"/>
        </w:rPr>
      </w:pPr>
      <w:r>
        <w:rPr>
          <w:rFonts w:hAnsi="宋体"/>
          <w:color w:val="FF0000"/>
          <w:sz w:val="22"/>
          <w:szCs w:val="22"/>
        </w:rPr>
        <w:t>7.</w:t>
      </w:r>
      <w:r>
        <w:rPr>
          <w:rFonts w:hint="eastAsia" w:hAnsi="宋体"/>
          <w:color w:val="FF0000"/>
          <w:sz w:val="22"/>
          <w:szCs w:val="22"/>
        </w:rPr>
        <w:t>学校财务资产处做开标记录；同时由记录人、监督人当场签字确认。</w:t>
      </w:r>
    </w:p>
    <w:p>
      <w:pPr>
        <w:pStyle w:val="4"/>
        <w:snapToGrid w:val="0"/>
        <w:spacing w:line="440" w:lineRule="exact"/>
        <w:ind w:left="699" w:leftChars="228" w:hanging="220" w:hangingChars="100"/>
        <w:rPr>
          <w:rFonts w:hAnsi="宋体"/>
          <w:color w:val="FF0000"/>
          <w:sz w:val="22"/>
          <w:szCs w:val="22"/>
        </w:rPr>
      </w:pPr>
      <w:r>
        <w:rPr>
          <w:rFonts w:hAnsi="宋体"/>
          <w:color w:val="FF0000"/>
          <w:sz w:val="22"/>
          <w:szCs w:val="22"/>
        </w:rPr>
        <w:t>8.</w:t>
      </w:r>
      <w:r>
        <w:rPr>
          <w:rFonts w:hint="eastAsia" w:hAnsi="宋体"/>
          <w:color w:val="FF0000"/>
          <w:sz w:val="22"/>
          <w:szCs w:val="22"/>
        </w:rPr>
        <w:t>开标会议结束。</w:t>
      </w:r>
    </w:p>
    <w:p>
      <w:pPr>
        <w:pStyle w:val="4"/>
        <w:snapToGrid w:val="0"/>
        <w:spacing w:line="440" w:lineRule="exact"/>
        <w:ind w:left="782" w:leftChars="267" w:hanging="221" w:hangingChars="100"/>
        <w:outlineLvl w:val="1"/>
        <w:rPr>
          <w:rFonts w:hAnsi="宋体"/>
          <w:b/>
          <w:color w:val="FF0000"/>
          <w:sz w:val="22"/>
          <w:szCs w:val="22"/>
        </w:rPr>
      </w:pPr>
      <w:bookmarkStart w:id="99" w:name="_Toc254970686"/>
      <w:bookmarkStart w:id="100" w:name="_Toc254970545"/>
      <w:r>
        <w:rPr>
          <w:rFonts w:hint="eastAsia" w:hAnsi="宋体"/>
          <w:b/>
          <w:color w:val="FF0000"/>
          <w:sz w:val="22"/>
          <w:szCs w:val="22"/>
        </w:rPr>
        <w:t>五、评标</w:t>
      </w:r>
      <w:bookmarkEnd w:id="99"/>
      <w:bookmarkEnd w:id="100"/>
    </w:p>
    <w:p>
      <w:pPr>
        <w:pStyle w:val="4"/>
        <w:snapToGrid w:val="0"/>
        <w:spacing w:line="440" w:lineRule="exact"/>
        <w:ind w:left="700" w:leftChars="228" w:hanging="221" w:hangingChars="100"/>
        <w:rPr>
          <w:rFonts w:hAnsi="宋体"/>
          <w:b/>
          <w:color w:val="FF0000"/>
          <w:sz w:val="22"/>
          <w:szCs w:val="22"/>
        </w:rPr>
      </w:pPr>
      <w:r>
        <w:rPr>
          <w:rFonts w:hint="eastAsia" w:hAnsi="宋体"/>
          <w:b/>
          <w:color w:val="FF0000"/>
          <w:sz w:val="22"/>
          <w:szCs w:val="22"/>
        </w:rPr>
        <w:t>（一）组建评标委员会</w:t>
      </w:r>
    </w:p>
    <w:p>
      <w:pPr>
        <w:pStyle w:val="4"/>
        <w:snapToGrid w:val="0"/>
        <w:spacing w:line="440" w:lineRule="exact"/>
        <w:ind w:firstLine="440" w:firstLineChars="200"/>
        <w:rPr>
          <w:rFonts w:hAnsi="宋体"/>
          <w:color w:val="FF0000"/>
          <w:sz w:val="22"/>
          <w:szCs w:val="22"/>
        </w:rPr>
      </w:pPr>
      <w:r>
        <w:rPr>
          <w:rFonts w:hint="eastAsia" w:hAnsi="宋体"/>
          <w:color w:val="FF0000"/>
          <w:sz w:val="22"/>
          <w:szCs w:val="22"/>
        </w:rPr>
        <w:t>本项目的评标委员会由广西艺术学院招投标工作领导小组成员组成。</w:t>
      </w:r>
    </w:p>
    <w:p>
      <w:pPr>
        <w:pStyle w:val="4"/>
        <w:snapToGrid w:val="0"/>
        <w:spacing w:line="440" w:lineRule="exact"/>
        <w:ind w:left="700" w:leftChars="228" w:hanging="221" w:hangingChars="100"/>
        <w:rPr>
          <w:rFonts w:hAnsi="宋体"/>
          <w:b/>
          <w:color w:val="FF0000"/>
          <w:sz w:val="22"/>
          <w:szCs w:val="22"/>
        </w:rPr>
      </w:pPr>
      <w:r>
        <w:rPr>
          <w:rFonts w:hint="eastAsia" w:hAnsi="宋体"/>
          <w:b/>
          <w:color w:val="FF0000"/>
          <w:sz w:val="22"/>
          <w:szCs w:val="22"/>
        </w:rPr>
        <w:t>（二）评标的方式</w:t>
      </w:r>
    </w:p>
    <w:p>
      <w:pPr>
        <w:pStyle w:val="4"/>
        <w:snapToGrid w:val="0"/>
        <w:spacing w:line="440" w:lineRule="exact"/>
        <w:ind w:left="699" w:leftChars="228" w:hanging="220" w:hangingChars="100"/>
        <w:rPr>
          <w:rFonts w:hAnsi="宋体"/>
          <w:color w:val="FF0000"/>
          <w:sz w:val="22"/>
          <w:szCs w:val="22"/>
        </w:rPr>
      </w:pPr>
      <w:r>
        <w:rPr>
          <w:rFonts w:hint="eastAsia" w:hAnsi="宋体"/>
          <w:color w:val="FF0000"/>
          <w:sz w:val="22"/>
          <w:szCs w:val="22"/>
        </w:rPr>
        <w:t>本项目采用不公开方式评标，评标的依据为招标文件和投标文件。</w:t>
      </w:r>
    </w:p>
    <w:p>
      <w:pPr>
        <w:pStyle w:val="4"/>
        <w:snapToGrid w:val="0"/>
        <w:spacing w:line="440" w:lineRule="exact"/>
        <w:ind w:left="700" w:leftChars="228" w:hanging="221" w:hangingChars="100"/>
        <w:rPr>
          <w:rFonts w:hAnsi="宋体"/>
          <w:b/>
          <w:color w:val="FF0000"/>
          <w:sz w:val="22"/>
          <w:szCs w:val="22"/>
        </w:rPr>
      </w:pPr>
      <w:r>
        <w:rPr>
          <w:rFonts w:hint="eastAsia" w:hAnsi="宋体"/>
          <w:b/>
          <w:color w:val="FF0000"/>
          <w:sz w:val="22"/>
          <w:szCs w:val="22"/>
        </w:rPr>
        <w:t>（三）</w:t>
      </w:r>
      <w:r>
        <w:rPr>
          <w:rFonts w:hint="eastAsia" w:hAnsi="宋体"/>
          <w:b/>
          <w:bCs/>
          <w:color w:val="FF0000"/>
          <w:sz w:val="22"/>
          <w:szCs w:val="22"/>
        </w:rPr>
        <w:t>评标程序</w:t>
      </w:r>
    </w:p>
    <w:p>
      <w:pPr>
        <w:snapToGrid w:val="0"/>
        <w:spacing w:line="440" w:lineRule="exact"/>
        <w:ind w:firstLine="433" w:firstLineChars="196"/>
        <w:rPr>
          <w:rFonts w:ascii="宋体"/>
          <w:b/>
          <w:bCs/>
          <w:color w:val="FF0000"/>
          <w:sz w:val="22"/>
          <w:szCs w:val="22"/>
        </w:rPr>
      </w:pPr>
      <w:r>
        <w:rPr>
          <w:rFonts w:ascii="宋体" w:hAnsi="宋体"/>
          <w:b/>
          <w:bCs/>
          <w:color w:val="FF0000"/>
          <w:sz w:val="22"/>
          <w:szCs w:val="22"/>
        </w:rPr>
        <w:t>1.</w:t>
      </w:r>
      <w:r>
        <w:rPr>
          <w:rFonts w:hint="eastAsia" w:ascii="宋体" w:hAnsi="宋体"/>
          <w:b/>
          <w:bCs/>
          <w:color w:val="FF0000"/>
          <w:sz w:val="22"/>
          <w:szCs w:val="22"/>
        </w:rPr>
        <w:t>形式审查</w:t>
      </w:r>
    </w:p>
    <w:p>
      <w:pPr>
        <w:snapToGrid w:val="0"/>
        <w:spacing w:line="440" w:lineRule="exact"/>
        <w:ind w:firstLine="440" w:firstLineChars="200"/>
        <w:rPr>
          <w:rFonts w:ascii="宋体"/>
          <w:b/>
          <w:color w:val="FF0000"/>
          <w:sz w:val="22"/>
          <w:szCs w:val="22"/>
        </w:rPr>
      </w:pPr>
      <w:r>
        <w:rPr>
          <w:rFonts w:hint="eastAsia" w:ascii="宋体" w:hAnsi="宋体"/>
          <w:color w:val="FF0000"/>
          <w:sz w:val="22"/>
          <w:szCs w:val="22"/>
        </w:rPr>
        <w:t>评标委员会对投标人的资格和投标文件的完整性、合法性等进行审查。</w:t>
      </w:r>
    </w:p>
    <w:p>
      <w:pPr>
        <w:snapToGrid w:val="0"/>
        <w:spacing w:line="440" w:lineRule="exact"/>
        <w:ind w:firstLine="433" w:firstLineChars="196"/>
        <w:rPr>
          <w:rFonts w:ascii="宋体"/>
          <w:b/>
          <w:bCs/>
          <w:color w:val="FF0000"/>
          <w:sz w:val="22"/>
          <w:szCs w:val="22"/>
        </w:rPr>
      </w:pPr>
      <w:r>
        <w:rPr>
          <w:rFonts w:ascii="宋体" w:hAnsi="宋体"/>
          <w:b/>
          <w:bCs/>
          <w:color w:val="FF0000"/>
          <w:sz w:val="22"/>
          <w:szCs w:val="22"/>
        </w:rPr>
        <w:t>2.</w:t>
      </w:r>
      <w:r>
        <w:rPr>
          <w:rFonts w:hint="eastAsia" w:ascii="宋体" w:hAnsi="宋体"/>
          <w:b/>
          <w:bCs/>
          <w:color w:val="FF0000"/>
          <w:sz w:val="22"/>
          <w:szCs w:val="22"/>
        </w:rPr>
        <w:t>实质审查与比较</w:t>
      </w:r>
    </w:p>
    <w:p>
      <w:pPr>
        <w:snapToGrid w:val="0"/>
        <w:spacing w:line="440" w:lineRule="exact"/>
        <w:ind w:firstLine="440" w:firstLineChars="200"/>
        <w:rPr>
          <w:rFonts w:ascii="宋体"/>
          <w:color w:val="FF0000"/>
          <w:sz w:val="22"/>
          <w:szCs w:val="22"/>
        </w:rPr>
      </w:pPr>
      <w:r>
        <w:rPr>
          <w:rFonts w:hint="eastAsia" w:ascii="宋体" w:hAnsi="宋体"/>
          <w:color w:val="FF0000"/>
          <w:sz w:val="22"/>
          <w:szCs w:val="22"/>
        </w:rPr>
        <w:t>（</w:t>
      </w:r>
      <w:r>
        <w:rPr>
          <w:rFonts w:ascii="宋体" w:hAnsi="宋体"/>
          <w:color w:val="FF0000"/>
          <w:sz w:val="22"/>
          <w:szCs w:val="22"/>
        </w:rPr>
        <w:t>1</w:t>
      </w:r>
      <w:r>
        <w:rPr>
          <w:rFonts w:hint="eastAsia" w:ascii="宋体" w:hAnsi="宋体"/>
          <w:color w:val="FF0000"/>
          <w:sz w:val="22"/>
          <w:szCs w:val="22"/>
        </w:rPr>
        <w:t>）评标委员会审查投标文件的内容是否符合招标文件的要求。</w:t>
      </w:r>
    </w:p>
    <w:p>
      <w:pPr>
        <w:snapToGrid w:val="0"/>
        <w:spacing w:line="440" w:lineRule="exact"/>
        <w:ind w:firstLine="440" w:firstLineChars="200"/>
        <w:rPr>
          <w:rFonts w:ascii="宋体"/>
          <w:color w:val="FF0000"/>
          <w:sz w:val="22"/>
          <w:szCs w:val="22"/>
        </w:rPr>
      </w:pPr>
      <w:r>
        <w:rPr>
          <w:rFonts w:hint="eastAsia" w:ascii="宋体" w:hAnsi="宋体"/>
          <w:color w:val="FF0000"/>
          <w:sz w:val="22"/>
          <w:szCs w:val="22"/>
        </w:rPr>
        <w:t>（</w:t>
      </w:r>
      <w:r>
        <w:rPr>
          <w:rFonts w:ascii="宋体" w:hAnsi="宋体"/>
          <w:color w:val="FF0000"/>
          <w:sz w:val="22"/>
          <w:szCs w:val="22"/>
        </w:rPr>
        <w:t>2</w:t>
      </w:r>
      <w:r>
        <w:rPr>
          <w:rFonts w:hint="eastAsia" w:ascii="宋体" w:hAnsi="宋体"/>
          <w:color w:val="FF0000"/>
          <w:sz w:val="22"/>
          <w:szCs w:val="22"/>
        </w:rPr>
        <w:t>）评标委员会将根据投标人的投标文件进行审查、核对。</w:t>
      </w:r>
    </w:p>
    <w:p>
      <w:pPr>
        <w:snapToGrid w:val="0"/>
        <w:spacing w:line="440" w:lineRule="exact"/>
        <w:ind w:firstLine="440" w:firstLineChars="200"/>
        <w:rPr>
          <w:rFonts w:ascii="宋体"/>
          <w:color w:val="FF0000"/>
          <w:sz w:val="22"/>
          <w:szCs w:val="22"/>
        </w:rPr>
      </w:pPr>
      <w:r>
        <w:rPr>
          <w:rFonts w:hint="eastAsia" w:ascii="宋体" w:hAnsi="宋体"/>
          <w:color w:val="FF0000"/>
          <w:sz w:val="22"/>
          <w:szCs w:val="22"/>
        </w:rPr>
        <w:t>（</w:t>
      </w:r>
      <w:r>
        <w:rPr>
          <w:rFonts w:ascii="宋体" w:hAnsi="宋体"/>
          <w:color w:val="FF0000"/>
          <w:sz w:val="22"/>
          <w:szCs w:val="22"/>
        </w:rPr>
        <w:t>3</w:t>
      </w:r>
      <w:r>
        <w:rPr>
          <w:rFonts w:hint="eastAsia" w:ascii="宋体" w:hAnsi="宋体"/>
          <w:color w:val="FF0000"/>
          <w:sz w:val="22"/>
          <w:szCs w:val="22"/>
        </w:rPr>
        <w:t>）评标委员会完成评标后，评标委员会按评标原则推荐中标候选人同时起草评标报告。</w:t>
      </w:r>
    </w:p>
    <w:p>
      <w:pPr>
        <w:pStyle w:val="4"/>
        <w:tabs>
          <w:tab w:val="left" w:pos="630"/>
        </w:tabs>
        <w:snapToGrid w:val="0"/>
        <w:spacing w:line="440" w:lineRule="exact"/>
        <w:ind w:firstLine="433" w:firstLineChars="196"/>
        <w:rPr>
          <w:rFonts w:hAnsi="宋体"/>
          <w:b/>
          <w:color w:val="FF0000"/>
          <w:sz w:val="22"/>
          <w:szCs w:val="22"/>
        </w:rPr>
      </w:pPr>
      <w:r>
        <w:rPr>
          <w:rFonts w:hint="eastAsia" w:hAnsi="宋体"/>
          <w:b/>
          <w:color w:val="FF0000"/>
          <w:sz w:val="22"/>
          <w:szCs w:val="22"/>
        </w:rPr>
        <w:t>（四）评标原则和评标办法</w:t>
      </w:r>
    </w:p>
    <w:p>
      <w:pPr>
        <w:pStyle w:val="4"/>
        <w:snapToGrid w:val="0"/>
        <w:spacing w:line="440" w:lineRule="exact"/>
        <w:ind w:firstLine="440" w:firstLineChars="200"/>
        <w:rPr>
          <w:rFonts w:hAnsi="宋体"/>
          <w:color w:val="FF0000"/>
          <w:sz w:val="22"/>
          <w:szCs w:val="22"/>
        </w:rPr>
      </w:pPr>
      <w:r>
        <w:rPr>
          <w:rFonts w:hAnsi="宋体"/>
          <w:color w:val="FF0000"/>
          <w:sz w:val="22"/>
          <w:szCs w:val="22"/>
        </w:rPr>
        <w:t>1.</w:t>
      </w:r>
      <w:r>
        <w:rPr>
          <w:rFonts w:hint="eastAsia" w:hAnsi="宋体"/>
          <w:color w:val="FF0000"/>
          <w:sz w:val="22"/>
          <w:szCs w:val="22"/>
        </w:rPr>
        <w:t>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响应的供应商不足三家时，由采购部门按规定以书面形式向学校领导报告，审核后作相应处理。</w:t>
      </w:r>
    </w:p>
    <w:p>
      <w:pPr>
        <w:pStyle w:val="4"/>
        <w:snapToGrid w:val="0"/>
        <w:spacing w:line="440" w:lineRule="exact"/>
        <w:ind w:firstLine="440" w:firstLineChars="200"/>
        <w:rPr>
          <w:rFonts w:hAnsi="宋体" w:cs="Arial"/>
          <w:color w:val="FF0000"/>
          <w:sz w:val="22"/>
          <w:szCs w:val="22"/>
        </w:rPr>
      </w:pPr>
      <w:r>
        <w:rPr>
          <w:rFonts w:hAnsi="宋体"/>
          <w:color w:val="FF0000"/>
          <w:sz w:val="22"/>
          <w:szCs w:val="22"/>
        </w:rPr>
        <w:t>2.</w:t>
      </w:r>
      <w:r>
        <w:rPr>
          <w:rFonts w:hint="eastAsia" w:hAnsi="宋体"/>
          <w:color w:val="FF0000"/>
          <w:sz w:val="22"/>
          <w:szCs w:val="22"/>
        </w:rPr>
        <w:t>评标办法。本项目评标办法低标价法</w:t>
      </w:r>
      <w:r>
        <w:rPr>
          <w:rFonts w:hint="eastAsia" w:hAnsi="宋体" w:cs="Arial"/>
          <w:color w:val="FF0000"/>
          <w:sz w:val="22"/>
          <w:szCs w:val="22"/>
        </w:rPr>
        <w:t>。</w:t>
      </w:r>
    </w:p>
    <w:p>
      <w:pPr>
        <w:pStyle w:val="4"/>
        <w:snapToGrid w:val="0"/>
        <w:spacing w:line="440" w:lineRule="exact"/>
        <w:ind w:firstLine="442" w:firstLineChars="200"/>
        <w:rPr>
          <w:rFonts w:hAnsi="宋体"/>
          <w:b/>
          <w:color w:val="FF0000"/>
          <w:sz w:val="22"/>
          <w:szCs w:val="22"/>
        </w:rPr>
      </w:pPr>
      <w:r>
        <w:rPr>
          <w:rFonts w:hint="eastAsia" w:hAnsi="宋体"/>
          <w:b/>
          <w:color w:val="FF0000"/>
          <w:sz w:val="22"/>
          <w:szCs w:val="22"/>
        </w:rPr>
        <w:t>（五）评标过程的监控</w:t>
      </w:r>
    </w:p>
    <w:p>
      <w:pPr>
        <w:pStyle w:val="4"/>
        <w:snapToGrid w:val="0"/>
        <w:spacing w:line="440" w:lineRule="exact"/>
        <w:ind w:firstLine="440" w:firstLineChars="200"/>
        <w:rPr>
          <w:rFonts w:hAnsi="宋体"/>
          <w:color w:val="FF0000"/>
          <w:sz w:val="22"/>
          <w:szCs w:val="22"/>
        </w:rPr>
      </w:pPr>
      <w:r>
        <w:rPr>
          <w:rFonts w:hint="eastAsia" w:hAnsi="宋体"/>
          <w:color w:val="FF0000"/>
          <w:sz w:val="22"/>
          <w:szCs w:val="22"/>
        </w:rPr>
        <w:t>本项目评标过程实行全程录音、录像监控。</w:t>
      </w:r>
    </w:p>
    <w:p>
      <w:pPr>
        <w:pStyle w:val="4"/>
        <w:snapToGrid w:val="0"/>
        <w:spacing w:line="440" w:lineRule="exact"/>
        <w:ind w:firstLine="433" w:firstLineChars="196"/>
        <w:outlineLvl w:val="1"/>
        <w:rPr>
          <w:rFonts w:hAnsi="宋体"/>
          <w:b/>
          <w:color w:val="FF0000"/>
          <w:sz w:val="22"/>
          <w:szCs w:val="22"/>
        </w:rPr>
      </w:pPr>
      <w:bookmarkStart w:id="101" w:name="_Toc254970687"/>
      <w:bookmarkStart w:id="102" w:name="_Toc254970546"/>
      <w:r>
        <w:rPr>
          <w:rFonts w:hint="eastAsia" w:hAnsi="宋体"/>
          <w:b/>
          <w:color w:val="FF0000"/>
          <w:sz w:val="22"/>
          <w:szCs w:val="22"/>
        </w:rPr>
        <w:t>六、评标结果</w:t>
      </w:r>
      <w:bookmarkEnd w:id="101"/>
      <w:bookmarkEnd w:id="102"/>
    </w:p>
    <w:p>
      <w:pPr>
        <w:pStyle w:val="4"/>
        <w:spacing w:line="440" w:lineRule="exact"/>
        <w:ind w:firstLine="420"/>
        <w:rPr>
          <w:rFonts w:hAnsi="宋体"/>
          <w:color w:val="FF0000"/>
          <w:sz w:val="22"/>
          <w:szCs w:val="22"/>
        </w:rPr>
      </w:pPr>
      <w:r>
        <w:rPr>
          <w:rFonts w:hint="eastAsia" w:hAnsi="宋体"/>
          <w:b/>
          <w:bCs/>
          <w:color w:val="FF0000"/>
          <w:sz w:val="22"/>
          <w:szCs w:val="22"/>
        </w:rPr>
        <w:t>（一）</w:t>
      </w:r>
      <w:r>
        <w:rPr>
          <w:rFonts w:hint="eastAsia" w:hAnsi="宋体"/>
          <w:color w:val="FF0000"/>
          <w:sz w:val="22"/>
          <w:szCs w:val="22"/>
        </w:rPr>
        <w:t>采购人将在评标结束后五个工作日内将评标报告送采购人，采购人在五个工作日内按照评标报告中推荐的中标候选供应商顺序确定中标供应商。采购人也可以事先授权评标委员会直接确定中标供应商。</w:t>
      </w:r>
    </w:p>
    <w:p>
      <w:pPr>
        <w:pStyle w:val="4"/>
        <w:spacing w:line="440" w:lineRule="exact"/>
        <w:ind w:firstLine="420"/>
        <w:rPr>
          <w:rFonts w:hAnsi="宋体"/>
          <w:color w:val="FF0000"/>
          <w:sz w:val="22"/>
          <w:szCs w:val="22"/>
        </w:rPr>
      </w:pPr>
      <w:r>
        <w:rPr>
          <w:rFonts w:hint="eastAsia" w:hAnsi="宋体"/>
          <w:color w:val="FF0000"/>
          <w:sz w:val="22"/>
          <w:szCs w:val="22"/>
        </w:rPr>
        <w:t>（二）中标供应商确定后，采购人在广西艺术学院财务资产处网站发布中标公告。</w:t>
      </w:r>
    </w:p>
    <w:p>
      <w:pPr>
        <w:pStyle w:val="4"/>
        <w:spacing w:line="440" w:lineRule="exact"/>
        <w:ind w:firstLine="420"/>
        <w:rPr>
          <w:rFonts w:hAnsi="宋体"/>
          <w:color w:val="FF0000"/>
          <w:sz w:val="22"/>
          <w:szCs w:val="22"/>
        </w:rPr>
      </w:pPr>
      <w:r>
        <w:rPr>
          <w:rFonts w:hint="eastAsia" w:hAnsi="宋体"/>
          <w:color w:val="FF0000"/>
          <w:sz w:val="22"/>
          <w:szCs w:val="22"/>
        </w:rPr>
        <w:t>（三）在发布中标公告的同时，采购人向中标供应商发出中标通知书。</w:t>
      </w:r>
    </w:p>
    <w:p>
      <w:pPr>
        <w:pStyle w:val="4"/>
        <w:spacing w:line="440" w:lineRule="exact"/>
        <w:ind w:firstLine="440" w:firstLineChars="200"/>
        <w:rPr>
          <w:rFonts w:hAnsi="宋体"/>
          <w:bCs/>
          <w:color w:val="FF0000"/>
          <w:sz w:val="22"/>
          <w:szCs w:val="22"/>
        </w:rPr>
      </w:pPr>
      <w:r>
        <w:rPr>
          <w:rFonts w:hint="eastAsia" w:hAnsi="宋体"/>
          <w:color w:val="FF0000"/>
          <w:sz w:val="22"/>
          <w:szCs w:val="22"/>
        </w:rPr>
        <w:t>（四）</w:t>
      </w:r>
      <w:r>
        <w:rPr>
          <w:rFonts w:hint="eastAsia" w:hAnsi="宋体"/>
          <w:bCs/>
          <w:color w:val="FF0000"/>
          <w:sz w:val="22"/>
          <w:szCs w:val="22"/>
        </w:rPr>
        <w:t>投标人认为招标文件、招标过程和中标结果使自己的权益受到损害的，可以在知道或者应知其权益受到损害之日起七个工作日内，以书面形式向采购人提出质疑，并及时索要书面回执。</w:t>
      </w:r>
    </w:p>
    <w:p>
      <w:pPr>
        <w:pStyle w:val="4"/>
        <w:spacing w:line="440" w:lineRule="exact"/>
        <w:ind w:firstLine="420"/>
        <w:rPr>
          <w:rFonts w:hAnsi="宋体"/>
          <w:color w:val="FF0000"/>
          <w:sz w:val="22"/>
          <w:szCs w:val="22"/>
        </w:rPr>
      </w:pPr>
      <w:r>
        <w:rPr>
          <w:rFonts w:hint="eastAsia" w:hAnsi="宋体"/>
          <w:color w:val="FF0000"/>
          <w:sz w:val="22"/>
          <w:szCs w:val="22"/>
        </w:rPr>
        <w:t>（五）</w:t>
      </w:r>
      <w:r>
        <w:rPr>
          <w:rFonts w:hint="eastAsia" w:hAnsi="宋体"/>
          <w:bCs/>
          <w:color w:val="FF0000"/>
          <w:sz w:val="22"/>
          <w:szCs w:val="22"/>
        </w:rPr>
        <w:t>采购人应当按照有关规定在收到投标人的书面质疑后七个工作日内做出答复，但答复的内容不得涉及商业秘密。</w:t>
      </w:r>
    </w:p>
    <w:p>
      <w:pPr>
        <w:pStyle w:val="4"/>
        <w:spacing w:line="440" w:lineRule="exact"/>
        <w:ind w:firstLine="420"/>
        <w:rPr>
          <w:rFonts w:hAnsi="宋体"/>
          <w:color w:val="FF0000"/>
          <w:sz w:val="22"/>
          <w:szCs w:val="22"/>
        </w:rPr>
      </w:pPr>
      <w:r>
        <w:rPr>
          <w:rFonts w:hint="eastAsia" w:hAnsi="宋体"/>
          <w:color w:val="FF0000"/>
          <w:sz w:val="22"/>
          <w:szCs w:val="22"/>
        </w:rPr>
        <w:t>（六）采购人无义务向未中标的供应商解释未中标原因和退还投标文件。</w:t>
      </w:r>
    </w:p>
    <w:p>
      <w:pPr>
        <w:pStyle w:val="4"/>
        <w:spacing w:line="440" w:lineRule="exact"/>
        <w:ind w:firstLine="442" w:firstLineChars="200"/>
        <w:rPr>
          <w:rFonts w:hAnsi="宋体"/>
          <w:b/>
          <w:sz w:val="22"/>
          <w:szCs w:val="22"/>
        </w:rPr>
      </w:pPr>
      <w:r>
        <w:rPr>
          <w:rFonts w:hint="eastAsia" w:hAnsi="宋体"/>
          <w:b/>
          <w:sz w:val="22"/>
          <w:szCs w:val="22"/>
        </w:rPr>
        <w:t>七</w:t>
      </w:r>
      <w:r>
        <w:rPr>
          <w:rFonts w:hAnsi="宋体"/>
          <w:b/>
          <w:sz w:val="22"/>
          <w:szCs w:val="22"/>
        </w:rPr>
        <w:t xml:space="preserve"> </w:t>
      </w:r>
      <w:r>
        <w:rPr>
          <w:rFonts w:hint="eastAsia" w:hAnsi="宋体"/>
          <w:b/>
          <w:sz w:val="22"/>
          <w:szCs w:val="22"/>
        </w:rPr>
        <w:t>、签订合同</w:t>
      </w:r>
    </w:p>
    <w:p>
      <w:pPr>
        <w:pStyle w:val="4"/>
        <w:spacing w:line="440" w:lineRule="exact"/>
        <w:ind w:firstLine="442" w:firstLineChars="200"/>
        <w:rPr>
          <w:rFonts w:hAnsi="宋体"/>
          <w:b/>
          <w:sz w:val="22"/>
          <w:szCs w:val="22"/>
        </w:rPr>
      </w:pPr>
      <w:r>
        <w:rPr>
          <w:rFonts w:hint="eastAsia" w:hAnsi="宋体"/>
          <w:b/>
          <w:sz w:val="22"/>
          <w:szCs w:val="22"/>
        </w:rPr>
        <w:t>（一）合同授予标准</w:t>
      </w:r>
    </w:p>
    <w:p>
      <w:pPr>
        <w:pStyle w:val="4"/>
        <w:spacing w:line="440" w:lineRule="exact"/>
        <w:ind w:firstLine="420"/>
        <w:rPr>
          <w:rFonts w:hAnsi="宋体"/>
          <w:sz w:val="22"/>
          <w:szCs w:val="22"/>
        </w:rPr>
      </w:pPr>
      <w:r>
        <w:rPr>
          <w:rFonts w:hint="eastAsia" w:hAnsi="宋体"/>
          <w:sz w:val="22"/>
          <w:szCs w:val="22"/>
        </w:rPr>
        <w:t>合同将授予被确定实质上响应招标文件要求，具备履行合同能力，综合评分排名第一的投标人。</w:t>
      </w:r>
    </w:p>
    <w:p>
      <w:pPr>
        <w:pStyle w:val="4"/>
        <w:spacing w:line="440" w:lineRule="exact"/>
        <w:ind w:firstLine="442" w:firstLineChars="200"/>
        <w:rPr>
          <w:rFonts w:hAnsi="宋体"/>
          <w:sz w:val="22"/>
          <w:szCs w:val="22"/>
        </w:rPr>
      </w:pPr>
      <w:r>
        <w:rPr>
          <w:rFonts w:hint="eastAsia" w:hAnsi="宋体"/>
          <w:b/>
          <w:sz w:val="22"/>
          <w:szCs w:val="22"/>
        </w:rPr>
        <w:t>（二）签订合同</w:t>
      </w:r>
    </w:p>
    <w:p>
      <w:pPr>
        <w:pStyle w:val="4"/>
        <w:spacing w:line="440" w:lineRule="exact"/>
        <w:ind w:firstLine="42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）投标人接到中标通知书后，应按中标通知书规定的时间、地点与采购人签订合同。</w:t>
      </w:r>
    </w:p>
    <w:p>
      <w:pPr>
        <w:pStyle w:val="4"/>
        <w:spacing w:line="440" w:lineRule="exact"/>
        <w:ind w:firstLine="42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）如中标供应商不按中标通知书的规定签订合同，则按中标供应商违约处理，采购代理机构将没收中标供应商投标的全部投标保证金并上缴同级财政国库。</w:t>
      </w:r>
    </w:p>
    <w:p>
      <w:pPr>
        <w:pStyle w:val="4"/>
        <w:spacing w:line="440" w:lineRule="exact"/>
        <w:ind w:firstLine="440" w:firstLineChars="200"/>
        <w:outlineLvl w:val="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）中标供应商因不可抗力或者自身原因不能履行采购合同的，采购人可以与中标供应商之后排名第一的中标候选供应商签订采购合同，以此类推。</w:t>
      </w:r>
    </w:p>
    <w:p>
      <w:pPr>
        <w:widowControl/>
        <w:jc w:val="left"/>
        <w:rPr>
          <w:rFonts w:ascii="宋体" w:hAnsi="宋体" w:cs="Courier New"/>
          <w:sz w:val="22"/>
          <w:szCs w:val="22"/>
        </w:rPr>
      </w:pPr>
      <w:r>
        <w:rPr>
          <w:rFonts w:hAnsi="宋体"/>
          <w:sz w:val="22"/>
          <w:szCs w:val="22"/>
        </w:rPr>
        <w:br w:type="page"/>
      </w:r>
    </w:p>
    <w:p>
      <w:pPr>
        <w:pStyle w:val="4"/>
        <w:snapToGrid w:val="0"/>
        <w:spacing w:before="120" w:after="120" w:line="360" w:lineRule="auto"/>
        <w:jc w:val="center"/>
        <w:outlineLvl w:val="0"/>
        <w:rPr>
          <w:rFonts w:hAnsi="宋体"/>
          <w:sz w:val="22"/>
          <w:szCs w:val="22"/>
        </w:rPr>
      </w:pPr>
      <w:bookmarkStart w:id="103" w:name="_Toc254970548"/>
      <w:bookmarkStart w:id="104" w:name="_Toc254970689"/>
      <w:r>
        <w:rPr>
          <w:rFonts w:hint="eastAsia" w:hAnsi="宋体"/>
          <w:sz w:val="22"/>
          <w:szCs w:val="22"/>
        </w:rPr>
        <w:t>第</w:t>
      </w:r>
      <w:r>
        <w:rPr>
          <w:rFonts w:hint="eastAsia" w:hAnsi="宋体"/>
          <w:sz w:val="22"/>
          <w:szCs w:val="22"/>
          <w:lang w:eastAsia="zh-CN"/>
        </w:rPr>
        <w:t>三</w:t>
      </w:r>
      <w:r>
        <w:rPr>
          <w:rFonts w:hint="eastAsia" w:hAnsi="宋体"/>
          <w:sz w:val="22"/>
          <w:szCs w:val="22"/>
        </w:rPr>
        <w:t>章</w:t>
      </w:r>
      <w:r>
        <w:rPr>
          <w:rFonts w:hAnsi="宋体"/>
          <w:sz w:val="22"/>
          <w:szCs w:val="22"/>
        </w:rPr>
        <w:t xml:space="preserve">  </w:t>
      </w:r>
      <w:r>
        <w:rPr>
          <w:rFonts w:hint="eastAsia" w:hAnsi="宋体"/>
          <w:sz w:val="22"/>
          <w:szCs w:val="22"/>
        </w:rPr>
        <w:t>评标办法及评分标准</w:t>
      </w:r>
      <w:bookmarkEnd w:id="103"/>
      <w:bookmarkEnd w:id="104"/>
    </w:p>
    <w:p>
      <w:pPr>
        <w:pStyle w:val="4"/>
        <w:snapToGrid w:val="0"/>
        <w:spacing w:before="120" w:after="120" w:line="360" w:lineRule="auto"/>
        <w:ind w:firstLine="442" w:firstLineChars="200"/>
        <w:jc w:val="left"/>
        <w:rPr>
          <w:rFonts w:hAnsi="宋体" w:cs="Arial"/>
          <w:b/>
          <w:color w:val="FF0000"/>
          <w:sz w:val="22"/>
          <w:szCs w:val="22"/>
        </w:rPr>
      </w:pPr>
      <w:r>
        <w:rPr>
          <w:rFonts w:hint="eastAsia" w:hAnsi="宋体" w:cs="Arial"/>
          <w:b/>
          <w:color w:val="FF0000"/>
          <w:sz w:val="22"/>
          <w:szCs w:val="22"/>
        </w:rPr>
        <w:t>在投标文件中技术响应、商务响应无偏离的条件下，采取低价中标方式选定该项目中标单位，若价格相同，则采取抽签方式确定中标单位。</w:t>
      </w:r>
    </w:p>
    <w:p>
      <w:pPr>
        <w:widowControl/>
        <w:jc w:val="left"/>
        <w:rPr>
          <w:rFonts w:ascii="宋体" w:hAnsi="宋体" w:cs="Arial"/>
          <w:b/>
          <w:sz w:val="22"/>
          <w:szCs w:val="22"/>
        </w:rPr>
      </w:pPr>
      <w:r>
        <w:rPr>
          <w:rFonts w:hAnsi="宋体" w:cs="Arial"/>
          <w:b/>
          <w:sz w:val="22"/>
          <w:szCs w:val="22"/>
        </w:rPr>
        <w:br w:type="page"/>
      </w:r>
    </w:p>
    <w:p>
      <w:pPr>
        <w:pStyle w:val="4"/>
        <w:snapToGrid w:val="0"/>
        <w:spacing w:before="120" w:after="120" w:line="360" w:lineRule="auto"/>
        <w:jc w:val="center"/>
        <w:outlineLvl w:val="0"/>
        <w:rPr>
          <w:rFonts w:hAnsi="宋体"/>
          <w:b/>
          <w:sz w:val="22"/>
          <w:szCs w:val="22"/>
        </w:rPr>
      </w:pPr>
      <w:r>
        <w:rPr>
          <w:rFonts w:hint="eastAsia" w:hAnsi="宋体"/>
          <w:sz w:val="22"/>
          <w:szCs w:val="22"/>
        </w:rPr>
        <w:t>第</w:t>
      </w:r>
      <w:r>
        <w:rPr>
          <w:rFonts w:hint="eastAsia" w:hAnsi="宋体"/>
          <w:sz w:val="22"/>
          <w:szCs w:val="22"/>
          <w:lang w:eastAsia="zh-CN"/>
        </w:rPr>
        <w:t>四</w:t>
      </w:r>
      <w:r>
        <w:rPr>
          <w:rFonts w:hint="eastAsia" w:hAnsi="宋体"/>
          <w:sz w:val="22"/>
          <w:szCs w:val="22"/>
        </w:rPr>
        <w:t>章</w:t>
      </w:r>
      <w:r>
        <w:rPr>
          <w:rFonts w:hAnsi="宋体"/>
          <w:sz w:val="22"/>
          <w:szCs w:val="22"/>
        </w:rPr>
        <w:t xml:space="preserve">  </w:t>
      </w:r>
      <w:r>
        <w:rPr>
          <w:rFonts w:hint="eastAsia" w:hAnsi="宋体"/>
          <w:sz w:val="22"/>
          <w:szCs w:val="22"/>
        </w:rPr>
        <w:t>合同主要条款格式</w:t>
      </w:r>
      <w:r>
        <w:rPr>
          <w:rFonts w:hAnsi="宋体"/>
          <w:sz w:val="22"/>
          <w:szCs w:val="22"/>
        </w:rPr>
        <w:t xml:space="preserve">  </w:t>
      </w:r>
      <w:r>
        <w:rPr>
          <w:rFonts w:hAnsi="宋体"/>
          <w:b/>
          <w:sz w:val="22"/>
          <w:szCs w:val="22"/>
        </w:rPr>
        <w:t xml:space="preserve">                        </w:t>
      </w:r>
    </w:p>
    <w:p>
      <w:pPr>
        <w:snapToGrid w:val="0"/>
        <w:spacing w:line="400" w:lineRule="exact"/>
        <w:jc w:val="center"/>
        <w:rPr>
          <w:rFonts w:ascii="宋体"/>
          <w:b/>
          <w:bCs/>
          <w:sz w:val="22"/>
          <w:szCs w:val="22"/>
        </w:rPr>
      </w:pPr>
    </w:p>
    <w:p>
      <w:pPr>
        <w:snapToGrid w:val="0"/>
        <w:spacing w:line="400" w:lineRule="exact"/>
        <w:jc w:val="center"/>
        <w:rPr>
          <w:rFonts w:ascii="宋体"/>
          <w:b/>
          <w:bCs/>
          <w:sz w:val="22"/>
          <w:szCs w:val="22"/>
        </w:rPr>
      </w:pPr>
    </w:p>
    <w:p>
      <w:pPr>
        <w:snapToGrid w:val="0"/>
        <w:spacing w:line="400" w:lineRule="exact"/>
        <w:jc w:val="center"/>
        <w:rPr>
          <w:rFonts w:ascii="宋体"/>
          <w:b/>
          <w:bCs/>
          <w:sz w:val="22"/>
          <w:szCs w:val="22"/>
        </w:rPr>
      </w:pPr>
      <w:r>
        <w:rPr>
          <w:rFonts w:hint="eastAsia" w:ascii="宋体" w:hAnsi="宋体"/>
          <w:b/>
          <w:bCs/>
          <w:sz w:val="22"/>
          <w:szCs w:val="22"/>
        </w:rPr>
        <w:t>广西艺术学院采购合同</w:t>
      </w:r>
    </w:p>
    <w:p>
      <w:pPr>
        <w:snapToGrid w:val="0"/>
        <w:spacing w:line="400" w:lineRule="exact"/>
        <w:ind w:right="480" w:firstLine="7260" w:firstLineChars="3300"/>
        <w:rPr>
          <w:rFonts w:ascii="宋体"/>
          <w:bCs/>
          <w:sz w:val="22"/>
          <w:szCs w:val="22"/>
        </w:rPr>
      </w:pPr>
    </w:p>
    <w:p>
      <w:pPr>
        <w:snapToGrid w:val="0"/>
        <w:spacing w:line="400" w:lineRule="exact"/>
        <w:ind w:right="480" w:firstLine="7260" w:firstLineChars="3300"/>
        <w:rPr>
          <w:rFonts w:ascii="宋体"/>
          <w:bCs/>
          <w:sz w:val="22"/>
          <w:szCs w:val="22"/>
          <w:u w:val="single"/>
        </w:rPr>
      </w:pPr>
      <w:r>
        <w:rPr>
          <w:rFonts w:hint="eastAsia" w:ascii="宋体" w:hAnsi="宋体"/>
          <w:bCs/>
          <w:sz w:val="22"/>
          <w:szCs w:val="22"/>
        </w:rPr>
        <w:t>合同编号：</w:t>
      </w:r>
    </w:p>
    <w:p>
      <w:pPr>
        <w:snapToGrid w:val="0"/>
        <w:spacing w:line="360" w:lineRule="exact"/>
        <w:rPr>
          <w:rFonts w:ascii="宋体"/>
          <w:sz w:val="22"/>
          <w:szCs w:val="22"/>
        </w:rPr>
      </w:pPr>
    </w:p>
    <w:p>
      <w:pPr>
        <w:snapToGrid w:val="0"/>
        <w:spacing w:line="360" w:lineRule="exact"/>
        <w:rPr>
          <w:rFonts w:ascii="宋体"/>
          <w:sz w:val="22"/>
          <w:szCs w:val="22"/>
          <w:u w:val="single"/>
        </w:rPr>
      </w:pPr>
      <w:r>
        <w:rPr>
          <w:rFonts w:hint="eastAsia" w:ascii="宋体" w:hAnsi="宋体"/>
          <w:sz w:val="22"/>
          <w:szCs w:val="22"/>
        </w:rPr>
        <w:t>采购单位（甲方）</w:t>
      </w:r>
      <w:r>
        <w:rPr>
          <w:rFonts w:ascii="宋体" w:hAnsi="宋体"/>
          <w:sz w:val="22"/>
          <w:szCs w:val="22"/>
          <w:u w:val="single"/>
        </w:rPr>
        <w:t xml:space="preserve">                          </w:t>
      </w:r>
      <w:r>
        <w:rPr>
          <w:rFonts w:ascii="宋体" w:hAnsi="宋体"/>
          <w:sz w:val="22"/>
          <w:szCs w:val="22"/>
        </w:rPr>
        <w:t xml:space="preserve">  </w:t>
      </w:r>
      <w:r>
        <w:rPr>
          <w:rFonts w:hint="eastAsia" w:ascii="宋体" w:hAnsi="宋体"/>
          <w:spacing w:val="-20"/>
          <w:sz w:val="22"/>
          <w:szCs w:val="22"/>
        </w:rPr>
        <w:t>采</w:t>
      </w:r>
      <w:r>
        <w:rPr>
          <w:rFonts w:ascii="宋体" w:hAnsi="宋体"/>
          <w:spacing w:val="-20"/>
          <w:sz w:val="22"/>
          <w:szCs w:val="22"/>
        </w:rPr>
        <w:t xml:space="preserve"> </w:t>
      </w:r>
      <w:r>
        <w:rPr>
          <w:rFonts w:hint="eastAsia" w:ascii="宋体" w:hAnsi="宋体"/>
          <w:spacing w:val="-20"/>
          <w:sz w:val="22"/>
          <w:szCs w:val="22"/>
        </w:rPr>
        <w:t>购</w:t>
      </w:r>
      <w:r>
        <w:rPr>
          <w:rFonts w:ascii="宋体" w:hAnsi="宋体"/>
          <w:spacing w:val="-20"/>
          <w:sz w:val="22"/>
          <w:szCs w:val="22"/>
        </w:rPr>
        <w:t xml:space="preserve"> </w:t>
      </w:r>
      <w:r>
        <w:rPr>
          <w:rFonts w:hint="eastAsia" w:ascii="宋体" w:hAnsi="宋体"/>
          <w:spacing w:val="-20"/>
          <w:sz w:val="22"/>
          <w:szCs w:val="22"/>
        </w:rPr>
        <w:t>计</w:t>
      </w:r>
      <w:r>
        <w:rPr>
          <w:rFonts w:ascii="宋体" w:hAnsi="宋体"/>
          <w:spacing w:val="-20"/>
          <w:sz w:val="22"/>
          <w:szCs w:val="22"/>
        </w:rPr>
        <w:t xml:space="preserve"> </w:t>
      </w:r>
      <w:r>
        <w:rPr>
          <w:rFonts w:hint="eastAsia" w:ascii="宋体" w:hAnsi="宋体"/>
          <w:spacing w:val="-20"/>
          <w:sz w:val="22"/>
          <w:szCs w:val="22"/>
        </w:rPr>
        <w:t>划</w:t>
      </w:r>
      <w:r>
        <w:rPr>
          <w:rFonts w:ascii="宋体" w:hAnsi="宋体"/>
          <w:spacing w:val="-20"/>
          <w:sz w:val="22"/>
          <w:szCs w:val="22"/>
        </w:rPr>
        <w:t xml:space="preserve"> </w:t>
      </w:r>
      <w:r>
        <w:rPr>
          <w:rFonts w:hint="eastAsia" w:ascii="宋体" w:hAnsi="宋体"/>
          <w:spacing w:val="-20"/>
          <w:sz w:val="22"/>
          <w:szCs w:val="22"/>
        </w:rPr>
        <w:t>号</w:t>
      </w:r>
      <w:r>
        <w:rPr>
          <w:rFonts w:ascii="宋体" w:hAnsi="宋体"/>
          <w:sz w:val="22"/>
          <w:szCs w:val="22"/>
          <w:u w:val="single"/>
        </w:rPr>
        <w:t xml:space="preserve">             </w:t>
      </w:r>
    </w:p>
    <w:p>
      <w:pPr>
        <w:snapToGrid w:val="0"/>
        <w:spacing w:line="360" w:lineRule="exact"/>
        <w:rPr>
          <w:rFonts w:ascii="宋体"/>
          <w:sz w:val="22"/>
          <w:szCs w:val="22"/>
          <w:u w:val="single"/>
        </w:rPr>
      </w:pPr>
      <w:r>
        <w:rPr>
          <w:rFonts w:hint="eastAsia" w:ascii="宋体" w:hAnsi="宋体"/>
          <w:sz w:val="22"/>
          <w:szCs w:val="22"/>
        </w:rPr>
        <w:t>供</w:t>
      </w:r>
      <w:r>
        <w:rPr>
          <w:rFonts w:ascii="宋体" w:hAnsi="宋体"/>
          <w:sz w:val="22"/>
          <w:szCs w:val="22"/>
        </w:rPr>
        <w:t xml:space="preserve"> </w:t>
      </w:r>
      <w:r>
        <w:rPr>
          <w:rFonts w:hint="eastAsia" w:ascii="宋体" w:hAnsi="宋体"/>
          <w:sz w:val="22"/>
          <w:szCs w:val="22"/>
        </w:rPr>
        <w:t>应</w:t>
      </w:r>
      <w:r>
        <w:rPr>
          <w:rFonts w:ascii="宋体" w:hAnsi="宋体"/>
          <w:sz w:val="22"/>
          <w:szCs w:val="22"/>
        </w:rPr>
        <w:t xml:space="preserve"> </w:t>
      </w:r>
      <w:r>
        <w:rPr>
          <w:rFonts w:hint="eastAsia" w:ascii="宋体" w:hAnsi="宋体"/>
          <w:sz w:val="22"/>
          <w:szCs w:val="22"/>
        </w:rPr>
        <w:t>商（乙方）</w:t>
      </w:r>
      <w:r>
        <w:rPr>
          <w:rFonts w:ascii="宋体" w:hAnsi="宋体"/>
          <w:sz w:val="22"/>
          <w:szCs w:val="22"/>
          <w:u w:val="single"/>
        </w:rPr>
        <w:t xml:space="preserve">                          </w:t>
      </w:r>
      <w:r>
        <w:rPr>
          <w:rFonts w:ascii="宋体" w:hAnsi="宋体"/>
          <w:sz w:val="22"/>
          <w:szCs w:val="22"/>
        </w:rPr>
        <w:t xml:space="preserve">  </w:t>
      </w:r>
      <w:r>
        <w:rPr>
          <w:rFonts w:hint="eastAsia" w:ascii="宋体" w:hAnsi="宋体"/>
          <w:spacing w:val="-20"/>
          <w:sz w:val="22"/>
          <w:szCs w:val="22"/>
        </w:rPr>
        <w:t>项目名称和编号</w:t>
      </w:r>
      <w:r>
        <w:rPr>
          <w:rFonts w:ascii="宋体" w:hAnsi="宋体"/>
          <w:sz w:val="22"/>
          <w:szCs w:val="22"/>
          <w:u w:val="single"/>
        </w:rPr>
        <w:t xml:space="preserve">             </w:t>
      </w:r>
    </w:p>
    <w:p>
      <w:pPr>
        <w:snapToGrid w:val="0"/>
        <w:spacing w:line="360" w:lineRule="exact"/>
        <w:rPr>
          <w:rFonts w:ascii="宋体"/>
          <w:sz w:val="22"/>
          <w:szCs w:val="22"/>
          <w:u w:val="single"/>
        </w:rPr>
      </w:pPr>
      <w:r>
        <w:rPr>
          <w:rFonts w:hint="eastAsia" w:ascii="宋体" w:hAnsi="宋体"/>
          <w:sz w:val="22"/>
          <w:szCs w:val="22"/>
        </w:rPr>
        <w:t>签</w:t>
      </w:r>
      <w:r>
        <w:rPr>
          <w:rFonts w:ascii="宋体" w:hAnsi="宋体"/>
          <w:sz w:val="22"/>
          <w:szCs w:val="22"/>
        </w:rPr>
        <w:t xml:space="preserve">  </w:t>
      </w:r>
      <w:r>
        <w:rPr>
          <w:rFonts w:hint="eastAsia" w:ascii="宋体" w:hAnsi="宋体"/>
          <w:sz w:val="22"/>
          <w:szCs w:val="22"/>
        </w:rPr>
        <w:t>订</w:t>
      </w:r>
      <w:r>
        <w:rPr>
          <w:rFonts w:ascii="宋体" w:hAnsi="宋体"/>
          <w:sz w:val="22"/>
          <w:szCs w:val="22"/>
        </w:rPr>
        <w:t xml:space="preserve">  </w:t>
      </w:r>
      <w:r>
        <w:rPr>
          <w:rFonts w:hint="eastAsia" w:ascii="宋体" w:hAnsi="宋体"/>
          <w:sz w:val="22"/>
          <w:szCs w:val="22"/>
        </w:rPr>
        <w:t>地</w:t>
      </w:r>
      <w:r>
        <w:rPr>
          <w:rFonts w:ascii="宋体" w:hAnsi="宋体"/>
          <w:sz w:val="22"/>
          <w:szCs w:val="22"/>
        </w:rPr>
        <w:t xml:space="preserve">  </w:t>
      </w:r>
      <w:r>
        <w:rPr>
          <w:rFonts w:hint="eastAsia" w:ascii="宋体" w:hAnsi="宋体"/>
          <w:sz w:val="22"/>
          <w:szCs w:val="22"/>
        </w:rPr>
        <w:t>点</w:t>
      </w:r>
      <w:r>
        <w:rPr>
          <w:rFonts w:ascii="宋体" w:hAnsi="宋体"/>
          <w:sz w:val="22"/>
          <w:szCs w:val="22"/>
        </w:rPr>
        <w:t xml:space="preserve">  </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签</w:t>
      </w:r>
      <w:r>
        <w:rPr>
          <w:rFonts w:ascii="宋体" w:hAnsi="宋体"/>
          <w:sz w:val="22"/>
          <w:szCs w:val="22"/>
        </w:rPr>
        <w:t xml:space="preserve"> </w:t>
      </w:r>
      <w:r>
        <w:rPr>
          <w:rFonts w:hint="eastAsia" w:ascii="宋体" w:hAnsi="宋体"/>
          <w:sz w:val="22"/>
          <w:szCs w:val="22"/>
        </w:rPr>
        <w:t>订</w:t>
      </w:r>
      <w:r>
        <w:rPr>
          <w:rFonts w:ascii="宋体" w:hAnsi="宋体"/>
          <w:sz w:val="22"/>
          <w:szCs w:val="22"/>
        </w:rPr>
        <w:t xml:space="preserve"> </w:t>
      </w:r>
      <w:r>
        <w:rPr>
          <w:rFonts w:hint="eastAsia" w:ascii="宋体" w:hAnsi="宋体"/>
          <w:sz w:val="22"/>
          <w:szCs w:val="22"/>
        </w:rPr>
        <w:t>时</w:t>
      </w:r>
      <w:r>
        <w:rPr>
          <w:rFonts w:ascii="宋体" w:hAnsi="宋体"/>
          <w:sz w:val="22"/>
          <w:szCs w:val="22"/>
        </w:rPr>
        <w:t xml:space="preserve"> </w:t>
      </w:r>
      <w:r>
        <w:rPr>
          <w:rFonts w:hint="eastAsia" w:ascii="宋体" w:hAnsi="宋体"/>
          <w:sz w:val="22"/>
          <w:szCs w:val="22"/>
        </w:rPr>
        <w:t>间</w:t>
      </w:r>
      <w:r>
        <w:rPr>
          <w:rFonts w:ascii="宋体" w:hAnsi="宋体"/>
          <w:sz w:val="22"/>
          <w:szCs w:val="22"/>
          <w:u w:val="single"/>
        </w:rPr>
        <w:t xml:space="preserve">             </w:t>
      </w:r>
    </w:p>
    <w:p>
      <w:pPr>
        <w:snapToGrid w:val="0"/>
        <w:spacing w:line="360" w:lineRule="exact"/>
        <w:ind w:firstLine="440" w:firstLineChars="200"/>
        <w:rPr>
          <w:rFonts w:ascii="宋体"/>
          <w:sz w:val="22"/>
          <w:szCs w:val="22"/>
        </w:rPr>
      </w:pPr>
    </w:p>
    <w:p>
      <w:pPr>
        <w:snapToGrid w:val="0"/>
        <w:spacing w:line="360" w:lineRule="exact"/>
        <w:ind w:firstLine="440" w:firstLineChars="200"/>
        <w:rPr>
          <w:rFonts w:ascii="宋体"/>
          <w:sz w:val="22"/>
          <w:szCs w:val="22"/>
        </w:rPr>
      </w:pPr>
      <w:r>
        <w:rPr>
          <w:rFonts w:hint="eastAsia" w:ascii="宋体" w:hAnsi="宋体"/>
          <w:sz w:val="22"/>
          <w:szCs w:val="22"/>
        </w:rPr>
        <w:t>根据《中华人民共和国政府采购法》、《中华人民共和国合同法》等法律、法规规定，按照招投标文件（采购文件）规定条款和中标（成交）供应商承诺，甲乙双方签订本合同。</w:t>
      </w:r>
    </w:p>
    <w:p>
      <w:pPr>
        <w:snapToGrid w:val="0"/>
        <w:spacing w:line="360" w:lineRule="exact"/>
        <w:ind w:firstLine="442" w:firstLineChars="200"/>
        <w:rPr>
          <w:rFonts w:ascii="宋体"/>
          <w:b/>
          <w:sz w:val="22"/>
          <w:szCs w:val="22"/>
        </w:rPr>
      </w:pPr>
      <w:r>
        <w:rPr>
          <w:rFonts w:hint="eastAsia" w:ascii="宋体" w:hAnsi="宋体"/>
          <w:b/>
          <w:sz w:val="22"/>
          <w:szCs w:val="22"/>
        </w:rPr>
        <w:t>第一条　合同标的</w:t>
      </w:r>
    </w:p>
    <w:p>
      <w:pPr>
        <w:snapToGrid w:val="0"/>
        <w:spacing w:line="36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、供货一览表</w:t>
      </w:r>
    </w:p>
    <w:tbl>
      <w:tblPr>
        <w:tblStyle w:val="7"/>
        <w:tblW w:w="96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vAlign w:val="center"/>
          </w:tcPr>
          <w:p>
            <w:pPr>
              <w:snapToGrid w:val="0"/>
              <w:jc w:val="center"/>
              <w:rPr>
                <w:rFonts w:ascii="宋体"/>
                <w:sz w:val="22"/>
                <w:szCs w:val="22"/>
              </w:rPr>
            </w:pPr>
            <w:r>
              <w:rPr>
                <w:rFonts w:hint="eastAsia" w:ascii="宋体" w:hAnsi="宋体"/>
                <w:sz w:val="22"/>
                <w:szCs w:val="22"/>
              </w:rPr>
              <w:t>序号</w:t>
            </w:r>
          </w:p>
        </w:tc>
        <w:tc>
          <w:tcPr>
            <w:tcW w:w="1199" w:type="dxa"/>
            <w:vAlign w:val="center"/>
          </w:tcPr>
          <w:p>
            <w:pPr>
              <w:snapToGrid w:val="0"/>
              <w:jc w:val="center"/>
              <w:rPr>
                <w:rFonts w:ascii="宋体"/>
                <w:sz w:val="22"/>
                <w:szCs w:val="22"/>
              </w:rPr>
            </w:pPr>
            <w:r>
              <w:rPr>
                <w:rFonts w:hint="eastAsia" w:ascii="宋体" w:hAnsi="宋体"/>
                <w:sz w:val="22"/>
                <w:szCs w:val="22"/>
              </w:rPr>
              <w:t>产品名称</w:t>
            </w:r>
          </w:p>
        </w:tc>
        <w:tc>
          <w:tcPr>
            <w:tcW w:w="1200" w:type="dxa"/>
            <w:vAlign w:val="center"/>
          </w:tcPr>
          <w:p>
            <w:pPr>
              <w:snapToGrid w:val="0"/>
              <w:jc w:val="center"/>
              <w:rPr>
                <w:rFonts w:ascii="宋体"/>
                <w:sz w:val="22"/>
                <w:szCs w:val="22"/>
              </w:rPr>
            </w:pPr>
            <w:r>
              <w:rPr>
                <w:rFonts w:hint="eastAsia" w:ascii="宋体" w:hAnsi="宋体"/>
                <w:sz w:val="22"/>
                <w:szCs w:val="22"/>
              </w:rPr>
              <w:t>商标品牌</w:t>
            </w:r>
          </w:p>
        </w:tc>
        <w:tc>
          <w:tcPr>
            <w:tcW w:w="1200" w:type="dxa"/>
            <w:vAlign w:val="center"/>
          </w:tcPr>
          <w:p>
            <w:pPr>
              <w:snapToGrid w:val="0"/>
              <w:jc w:val="center"/>
              <w:rPr>
                <w:rFonts w:ascii="宋体"/>
                <w:sz w:val="22"/>
                <w:szCs w:val="22"/>
              </w:rPr>
            </w:pPr>
            <w:r>
              <w:rPr>
                <w:rFonts w:hint="eastAsia" w:ascii="宋体" w:hAnsi="宋体"/>
                <w:sz w:val="22"/>
                <w:szCs w:val="22"/>
              </w:rPr>
              <w:t>规格型号</w:t>
            </w:r>
          </w:p>
        </w:tc>
        <w:tc>
          <w:tcPr>
            <w:tcW w:w="1199" w:type="dxa"/>
            <w:vAlign w:val="center"/>
          </w:tcPr>
          <w:p>
            <w:pPr>
              <w:snapToGrid w:val="0"/>
              <w:jc w:val="center"/>
              <w:rPr>
                <w:rFonts w:ascii="宋体"/>
                <w:sz w:val="22"/>
                <w:szCs w:val="22"/>
              </w:rPr>
            </w:pPr>
            <w:r>
              <w:rPr>
                <w:rFonts w:hint="eastAsia" w:ascii="宋体" w:hAnsi="宋体"/>
                <w:sz w:val="22"/>
                <w:szCs w:val="22"/>
              </w:rPr>
              <w:t>生产厂家</w:t>
            </w:r>
          </w:p>
        </w:tc>
        <w:tc>
          <w:tcPr>
            <w:tcW w:w="1005" w:type="dxa"/>
            <w:vAlign w:val="center"/>
          </w:tcPr>
          <w:p>
            <w:pPr>
              <w:snapToGrid w:val="0"/>
              <w:jc w:val="center"/>
              <w:rPr>
                <w:rFonts w:ascii="宋体"/>
                <w:sz w:val="22"/>
                <w:szCs w:val="22"/>
              </w:rPr>
            </w:pPr>
            <w:r>
              <w:rPr>
                <w:rFonts w:hint="eastAsia" w:ascii="宋体" w:hAnsi="宋体"/>
                <w:sz w:val="22"/>
                <w:szCs w:val="22"/>
              </w:rPr>
              <w:t>数量</w:t>
            </w:r>
          </w:p>
        </w:tc>
        <w:tc>
          <w:tcPr>
            <w:tcW w:w="900" w:type="dxa"/>
            <w:vAlign w:val="center"/>
          </w:tcPr>
          <w:p>
            <w:pPr>
              <w:snapToGrid w:val="0"/>
              <w:jc w:val="center"/>
              <w:rPr>
                <w:rFonts w:ascii="宋体"/>
                <w:sz w:val="22"/>
                <w:szCs w:val="22"/>
              </w:rPr>
            </w:pPr>
            <w:r>
              <w:rPr>
                <w:rFonts w:hint="eastAsia" w:ascii="宋体" w:hAnsi="宋体"/>
                <w:sz w:val="22"/>
                <w:szCs w:val="22"/>
              </w:rPr>
              <w:t>单位</w:t>
            </w:r>
          </w:p>
        </w:tc>
        <w:tc>
          <w:tcPr>
            <w:tcW w:w="1200" w:type="dxa"/>
            <w:vAlign w:val="center"/>
          </w:tcPr>
          <w:p>
            <w:pPr>
              <w:snapToGrid w:val="0"/>
              <w:jc w:val="center"/>
              <w:rPr>
                <w:rFonts w:ascii="宋体"/>
                <w:sz w:val="22"/>
                <w:szCs w:val="22"/>
              </w:rPr>
            </w:pPr>
            <w:r>
              <w:rPr>
                <w:rFonts w:hint="eastAsia" w:ascii="宋体" w:hAnsi="宋体"/>
                <w:sz w:val="22"/>
                <w:szCs w:val="22"/>
              </w:rPr>
              <w:t>单</w:t>
            </w:r>
            <w:r>
              <w:rPr>
                <w:rFonts w:ascii="宋体" w:hAnsi="宋体"/>
                <w:sz w:val="22"/>
                <w:szCs w:val="22"/>
              </w:rPr>
              <w:t xml:space="preserve">  </w:t>
            </w:r>
            <w:r>
              <w:rPr>
                <w:rFonts w:hint="eastAsia" w:ascii="宋体" w:hAnsi="宋体"/>
                <w:sz w:val="22"/>
                <w:szCs w:val="22"/>
              </w:rPr>
              <w:t>价</w:t>
            </w:r>
          </w:p>
          <w:p>
            <w:pPr>
              <w:snapToGrid w:val="0"/>
              <w:jc w:val="center"/>
              <w:rPr>
                <w:rFonts w:ascii="宋体"/>
                <w:sz w:val="22"/>
                <w:szCs w:val="22"/>
              </w:rPr>
            </w:pPr>
            <w:r>
              <w:rPr>
                <w:rFonts w:hint="eastAsia" w:ascii="宋体" w:hAnsi="宋体"/>
                <w:sz w:val="22"/>
                <w:szCs w:val="22"/>
              </w:rPr>
              <w:t>（元）</w:t>
            </w:r>
          </w:p>
        </w:tc>
        <w:tc>
          <w:tcPr>
            <w:tcW w:w="1200" w:type="dxa"/>
            <w:vAlign w:val="center"/>
          </w:tcPr>
          <w:p>
            <w:pPr>
              <w:snapToGrid w:val="0"/>
              <w:jc w:val="center"/>
              <w:rPr>
                <w:rFonts w:ascii="宋体"/>
                <w:sz w:val="22"/>
                <w:szCs w:val="22"/>
              </w:rPr>
            </w:pPr>
            <w:r>
              <w:rPr>
                <w:rFonts w:hint="eastAsia" w:ascii="宋体" w:hAnsi="宋体"/>
                <w:sz w:val="22"/>
                <w:szCs w:val="22"/>
              </w:rPr>
              <w:t>金</w:t>
            </w:r>
            <w:r>
              <w:rPr>
                <w:rFonts w:ascii="宋体" w:hAnsi="宋体"/>
                <w:sz w:val="22"/>
                <w:szCs w:val="22"/>
              </w:rPr>
              <w:t xml:space="preserve">  </w:t>
            </w:r>
            <w:r>
              <w:rPr>
                <w:rFonts w:hint="eastAsia" w:ascii="宋体" w:hAnsi="宋体"/>
                <w:sz w:val="22"/>
                <w:szCs w:val="22"/>
              </w:rPr>
              <w:t>额</w:t>
            </w:r>
          </w:p>
          <w:p>
            <w:pPr>
              <w:snapToGrid w:val="0"/>
              <w:jc w:val="center"/>
              <w:rPr>
                <w:rFonts w:ascii="宋体"/>
                <w:sz w:val="22"/>
                <w:szCs w:val="22"/>
              </w:rPr>
            </w:pPr>
            <w:r>
              <w:rPr>
                <w:rFonts w:hint="eastAsia" w:ascii="宋体" w:hAnsi="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jc w:val="center"/>
              <w:rPr>
                <w:rFonts w:ascii="宋体"/>
                <w:sz w:val="22"/>
                <w:szCs w:val="22"/>
              </w:rPr>
            </w:pPr>
            <w:r>
              <w:rPr>
                <w:rFonts w:ascii="宋体" w:hAnsi="宋体"/>
                <w:sz w:val="22"/>
                <w:szCs w:val="22"/>
              </w:rPr>
              <w:t>1</w:t>
            </w:r>
          </w:p>
        </w:tc>
        <w:tc>
          <w:tcPr>
            <w:tcW w:w="1199"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199" w:type="dxa"/>
          </w:tcPr>
          <w:p>
            <w:pPr>
              <w:snapToGrid w:val="0"/>
              <w:jc w:val="center"/>
              <w:rPr>
                <w:rFonts w:ascii="宋体"/>
                <w:sz w:val="22"/>
                <w:szCs w:val="22"/>
              </w:rPr>
            </w:pPr>
          </w:p>
        </w:tc>
        <w:tc>
          <w:tcPr>
            <w:tcW w:w="1005" w:type="dxa"/>
          </w:tcPr>
          <w:p>
            <w:pPr>
              <w:snapToGrid w:val="0"/>
              <w:jc w:val="center"/>
              <w:rPr>
                <w:rFonts w:ascii="宋体"/>
                <w:sz w:val="22"/>
                <w:szCs w:val="22"/>
              </w:rPr>
            </w:pPr>
          </w:p>
        </w:tc>
        <w:tc>
          <w:tcPr>
            <w:tcW w:w="900" w:type="dxa"/>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jc w:val="center"/>
              <w:rPr>
                <w:rFonts w:ascii="宋体"/>
                <w:sz w:val="22"/>
                <w:szCs w:val="22"/>
              </w:rPr>
            </w:pPr>
            <w:r>
              <w:rPr>
                <w:rFonts w:ascii="宋体" w:hAnsi="宋体"/>
                <w:sz w:val="22"/>
                <w:szCs w:val="22"/>
              </w:rPr>
              <w:t>2</w:t>
            </w:r>
          </w:p>
        </w:tc>
        <w:tc>
          <w:tcPr>
            <w:tcW w:w="1199"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199" w:type="dxa"/>
          </w:tcPr>
          <w:p>
            <w:pPr>
              <w:snapToGrid w:val="0"/>
              <w:jc w:val="center"/>
              <w:rPr>
                <w:rFonts w:ascii="宋体"/>
                <w:sz w:val="22"/>
                <w:szCs w:val="22"/>
              </w:rPr>
            </w:pPr>
          </w:p>
        </w:tc>
        <w:tc>
          <w:tcPr>
            <w:tcW w:w="1005" w:type="dxa"/>
          </w:tcPr>
          <w:p>
            <w:pPr>
              <w:snapToGrid w:val="0"/>
              <w:jc w:val="center"/>
              <w:rPr>
                <w:rFonts w:ascii="宋体"/>
                <w:sz w:val="22"/>
                <w:szCs w:val="22"/>
              </w:rPr>
            </w:pPr>
          </w:p>
        </w:tc>
        <w:tc>
          <w:tcPr>
            <w:tcW w:w="900" w:type="dxa"/>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jc w:val="center"/>
              <w:rPr>
                <w:rFonts w:ascii="宋体"/>
                <w:sz w:val="22"/>
                <w:szCs w:val="22"/>
              </w:rPr>
            </w:pPr>
            <w:r>
              <w:rPr>
                <w:rFonts w:ascii="宋体" w:hAnsi="宋体"/>
                <w:sz w:val="22"/>
                <w:szCs w:val="22"/>
              </w:rPr>
              <w:t>3</w:t>
            </w:r>
          </w:p>
        </w:tc>
        <w:tc>
          <w:tcPr>
            <w:tcW w:w="1199"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199" w:type="dxa"/>
          </w:tcPr>
          <w:p>
            <w:pPr>
              <w:snapToGrid w:val="0"/>
              <w:jc w:val="center"/>
              <w:rPr>
                <w:rFonts w:ascii="宋体"/>
                <w:sz w:val="22"/>
                <w:szCs w:val="22"/>
              </w:rPr>
            </w:pPr>
          </w:p>
        </w:tc>
        <w:tc>
          <w:tcPr>
            <w:tcW w:w="1005" w:type="dxa"/>
          </w:tcPr>
          <w:p>
            <w:pPr>
              <w:snapToGrid w:val="0"/>
              <w:jc w:val="center"/>
              <w:rPr>
                <w:rFonts w:ascii="宋体"/>
                <w:sz w:val="22"/>
                <w:szCs w:val="22"/>
              </w:rPr>
            </w:pPr>
          </w:p>
        </w:tc>
        <w:tc>
          <w:tcPr>
            <w:tcW w:w="900" w:type="dxa"/>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c>
          <w:tcPr>
            <w:tcW w:w="1200" w:type="dxa"/>
            <w:vAlign w:val="center"/>
          </w:tcPr>
          <w:p>
            <w:pPr>
              <w:snapToGrid w:val="0"/>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00" w:type="dxa"/>
            <w:gridSpan w:val="9"/>
            <w:vAlign w:val="center"/>
          </w:tcPr>
          <w:p>
            <w:pPr>
              <w:snapToGrid w:val="0"/>
              <w:rPr>
                <w:rFonts w:ascii="宋体"/>
                <w:sz w:val="22"/>
                <w:szCs w:val="22"/>
              </w:rPr>
            </w:pPr>
            <w:r>
              <w:rPr>
                <w:rFonts w:hint="eastAsia" w:ascii="宋体" w:hAnsi="宋体"/>
                <w:sz w:val="22"/>
                <w:szCs w:val="22"/>
              </w:rPr>
              <w:t>人民币合计金额（大写）</w:t>
            </w:r>
            <w:r>
              <w:rPr>
                <w:rFonts w:ascii="宋体" w:hAnsi="宋体"/>
                <w:sz w:val="22"/>
                <w:szCs w:val="22"/>
              </w:rPr>
              <w:t xml:space="preserve">                                  </w:t>
            </w:r>
            <w:r>
              <w:rPr>
                <w:rFonts w:hint="eastAsia" w:ascii="宋体" w:hAnsi="宋体"/>
                <w:sz w:val="22"/>
                <w:szCs w:val="22"/>
              </w:rPr>
              <w:t>（小写）</w:t>
            </w:r>
            <w:r>
              <w:rPr>
                <w:rFonts w:ascii="宋体" w:hAnsi="宋体"/>
                <w:sz w:val="22"/>
                <w:szCs w:val="22"/>
              </w:rPr>
              <w:t xml:space="preserve">           </w:t>
            </w:r>
          </w:p>
        </w:tc>
      </w:tr>
    </w:tbl>
    <w:p>
      <w:pPr>
        <w:snapToGrid w:val="0"/>
        <w:spacing w:line="300" w:lineRule="exact"/>
        <w:ind w:right="420" w:firstLine="440" w:firstLineChars="200"/>
        <w:rPr>
          <w:rFonts w:ascii="宋体"/>
          <w:sz w:val="22"/>
          <w:szCs w:val="22"/>
        </w:rPr>
      </w:pPr>
      <w:r>
        <w:rPr>
          <w:rFonts w:ascii="宋体" w:hAnsi="宋体"/>
          <w:sz w:val="22"/>
          <w:szCs w:val="22"/>
        </w:rPr>
        <w:t>2</w:t>
      </w:r>
      <w:r>
        <w:rPr>
          <w:rFonts w:hint="eastAsia" w:ascii="宋体" w:hAnsi="宋体"/>
          <w:sz w:val="22"/>
          <w:szCs w:val="22"/>
        </w:rPr>
        <w:t>、合同合计金额包括货物价款，备件、专用工具、安装、调试、检验、技术培训及技术资料和包装、运输等全部费用。如招投标文件对其另有规定的，从其规定。</w:t>
      </w:r>
    </w:p>
    <w:p>
      <w:pPr>
        <w:snapToGrid w:val="0"/>
        <w:spacing w:line="300" w:lineRule="exact"/>
        <w:ind w:firstLine="442" w:firstLineChars="200"/>
        <w:rPr>
          <w:rFonts w:ascii="宋体"/>
          <w:sz w:val="22"/>
          <w:szCs w:val="22"/>
        </w:rPr>
      </w:pPr>
      <w:r>
        <w:rPr>
          <w:rFonts w:hint="eastAsia" w:ascii="宋体" w:hAnsi="宋体"/>
          <w:b/>
          <w:sz w:val="22"/>
          <w:szCs w:val="22"/>
        </w:rPr>
        <w:t>第二条　质量保证</w:t>
      </w:r>
    </w:p>
    <w:p>
      <w:pPr>
        <w:snapToGrid w:val="0"/>
        <w:spacing w:line="3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、乙方所提供的货物型号、技术规格、技术参数等质量必须与招投标文件和承诺相一致。乙方提供的自主创新产品、节能和环保产品必须是列入政府采购清单的产品。</w:t>
      </w:r>
    </w:p>
    <w:p>
      <w:pPr>
        <w:snapToGrid w:val="0"/>
        <w:spacing w:line="300" w:lineRule="exact"/>
        <w:ind w:firstLine="440" w:firstLineChars="200"/>
        <w:rPr>
          <w:rFonts w:ascii="宋体"/>
          <w:sz w:val="22"/>
          <w:szCs w:val="22"/>
          <w:u w:val="single"/>
        </w:rPr>
      </w:pPr>
      <w:r>
        <w:rPr>
          <w:rFonts w:ascii="宋体" w:hAnsi="宋体"/>
          <w:sz w:val="22"/>
          <w:szCs w:val="22"/>
        </w:rPr>
        <w:t>2</w:t>
      </w:r>
      <w:r>
        <w:rPr>
          <w:rFonts w:hint="eastAsia" w:ascii="宋体" w:hAnsi="宋体"/>
          <w:sz w:val="22"/>
          <w:szCs w:val="22"/>
        </w:rPr>
        <w:t>、乙方所提供的货物必须是全新、未使用的原装产品，且在正常安装、使用和保养条件下，其使用寿命期内各项指标均达到质量要求。</w:t>
      </w:r>
    </w:p>
    <w:p>
      <w:pPr>
        <w:snapToGrid w:val="0"/>
        <w:spacing w:line="300" w:lineRule="exact"/>
        <w:ind w:firstLine="442" w:firstLineChars="200"/>
        <w:rPr>
          <w:rFonts w:ascii="宋体"/>
          <w:sz w:val="22"/>
          <w:szCs w:val="22"/>
        </w:rPr>
      </w:pPr>
      <w:r>
        <w:rPr>
          <w:rFonts w:hint="eastAsia" w:ascii="宋体" w:hAnsi="宋体"/>
          <w:b/>
          <w:sz w:val="22"/>
          <w:szCs w:val="22"/>
        </w:rPr>
        <w:t>第三条　权利保证</w:t>
      </w:r>
    </w:p>
    <w:p>
      <w:pPr>
        <w:snapToGrid w:val="0"/>
        <w:spacing w:line="300" w:lineRule="exact"/>
        <w:ind w:firstLine="440" w:firstLineChars="200"/>
        <w:rPr>
          <w:rFonts w:ascii="宋体"/>
          <w:sz w:val="22"/>
          <w:szCs w:val="22"/>
        </w:rPr>
      </w:pPr>
      <w:r>
        <w:rPr>
          <w:rFonts w:hint="eastAsia" w:ascii="宋体" w:hAnsi="宋体"/>
          <w:sz w:val="22"/>
          <w:szCs w:val="22"/>
        </w:rPr>
        <w:t>乙方应保证所提供货物在使用时不会侵犯任何第三方的专利权、商标权、工业设计权或其他权利。</w:t>
      </w:r>
    </w:p>
    <w:p>
      <w:pPr>
        <w:snapToGrid w:val="0"/>
        <w:spacing w:line="300" w:lineRule="exact"/>
        <w:ind w:firstLine="440" w:firstLineChars="200"/>
        <w:rPr>
          <w:rFonts w:ascii="宋体"/>
          <w:sz w:val="22"/>
          <w:szCs w:val="22"/>
        </w:rPr>
      </w:pPr>
      <w:r>
        <w:rPr>
          <w:rFonts w:hint="eastAsia" w:ascii="宋体" w:hAnsi="宋体"/>
          <w:sz w:val="22"/>
          <w:szCs w:val="22"/>
        </w:rPr>
        <w:t>乙方应按招标文件规定的时间向甲方提供使用货物的有关技术资料。</w:t>
      </w:r>
    </w:p>
    <w:p>
      <w:pPr>
        <w:snapToGrid w:val="0"/>
        <w:spacing w:line="300" w:lineRule="exact"/>
        <w:ind w:firstLine="440" w:firstLineChars="200"/>
        <w:rPr>
          <w:rFonts w:ascii="宋体"/>
          <w:sz w:val="22"/>
          <w:szCs w:val="22"/>
        </w:rPr>
      </w:pPr>
      <w:r>
        <w:rPr>
          <w:rFonts w:hint="eastAsia" w:ascii="宋体" w:hAnsi="宋体"/>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00" w:lineRule="exact"/>
        <w:ind w:firstLine="440" w:firstLineChars="200"/>
        <w:rPr>
          <w:rFonts w:ascii="宋体"/>
          <w:sz w:val="22"/>
          <w:szCs w:val="22"/>
        </w:rPr>
      </w:pPr>
      <w:r>
        <w:rPr>
          <w:rFonts w:hint="eastAsia" w:ascii="宋体" w:hAnsi="宋体"/>
          <w:sz w:val="22"/>
          <w:szCs w:val="22"/>
        </w:rPr>
        <w:t>乙方保证所交付的货物的所有权完全属于乙方且无任何抵押、质押、查封、</w:t>
      </w:r>
      <w:r>
        <w:rPr>
          <w:rFonts w:hint="eastAsia" w:ascii="宋体" w:hAnsi="宋体"/>
          <w:color w:val="FF00FF"/>
          <w:sz w:val="22"/>
          <w:szCs w:val="22"/>
        </w:rPr>
        <w:t>所有权保留</w:t>
      </w:r>
      <w:r>
        <w:rPr>
          <w:rFonts w:hint="eastAsia" w:ascii="宋体" w:hAnsi="宋体"/>
          <w:sz w:val="22"/>
          <w:szCs w:val="22"/>
        </w:rPr>
        <w:t>等产权瑕疵。</w:t>
      </w:r>
    </w:p>
    <w:p>
      <w:pPr>
        <w:snapToGrid w:val="0"/>
        <w:spacing w:line="300" w:lineRule="exact"/>
        <w:ind w:firstLine="442" w:firstLineChars="200"/>
        <w:rPr>
          <w:rFonts w:ascii="宋体"/>
          <w:b/>
          <w:sz w:val="22"/>
          <w:szCs w:val="22"/>
        </w:rPr>
      </w:pPr>
      <w:r>
        <w:rPr>
          <w:rFonts w:hint="eastAsia" w:ascii="宋体" w:hAnsi="宋体"/>
          <w:b/>
          <w:sz w:val="22"/>
          <w:szCs w:val="22"/>
        </w:rPr>
        <w:t>第四条　包装和运输</w:t>
      </w:r>
    </w:p>
    <w:p>
      <w:pPr>
        <w:snapToGrid w:val="0"/>
        <w:spacing w:line="3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、乙方提供的货物均应按招投标文件要求的包装材料、包装标准、包装方式进行包装，每一包装单元内应附详细的装箱单和质量合格证。</w:t>
      </w:r>
    </w:p>
    <w:p>
      <w:pPr>
        <w:snapToGrid w:val="0"/>
        <w:spacing w:line="300" w:lineRule="exact"/>
        <w:ind w:firstLine="440" w:firstLineChars="200"/>
        <w:rPr>
          <w:rFonts w:ascii="宋体"/>
          <w:sz w:val="22"/>
          <w:szCs w:val="22"/>
        </w:rPr>
      </w:pPr>
      <w:r>
        <w:rPr>
          <w:rFonts w:ascii="宋体" w:hAnsi="宋体"/>
          <w:sz w:val="22"/>
          <w:szCs w:val="22"/>
        </w:rPr>
        <w:t>2</w:t>
      </w:r>
      <w:r>
        <w:rPr>
          <w:rFonts w:hint="eastAsia" w:ascii="宋体" w:hAnsi="宋体"/>
          <w:sz w:val="22"/>
          <w:szCs w:val="22"/>
        </w:rPr>
        <w:t>、货物的运输方式：</w:t>
      </w:r>
      <w:r>
        <w:rPr>
          <w:rFonts w:ascii="宋体" w:hAnsi="宋体"/>
          <w:sz w:val="22"/>
          <w:szCs w:val="22"/>
          <w:u w:val="single"/>
        </w:rPr>
        <w:t xml:space="preserve">                            </w:t>
      </w:r>
      <w:r>
        <w:rPr>
          <w:rFonts w:hint="eastAsia" w:ascii="宋体" w:hAnsi="宋体"/>
          <w:sz w:val="22"/>
          <w:szCs w:val="22"/>
        </w:rPr>
        <w:t>。</w:t>
      </w:r>
    </w:p>
    <w:p>
      <w:pPr>
        <w:snapToGrid w:val="0"/>
        <w:spacing w:line="300" w:lineRule="exact"/>
        <w:ind w:firstLine="440" w:firstLineChars="200"/>
        <w:rPr>
          <w:rFonts w:ascii="宋体"/>
          <w:sz w:val="22"/>
          <w:szCs w:val="22"/>
          <w:u w:val="single"/>
        </w:rPr>
      </w:pPr>
      <w:r>
        <w:rPr>
          <w:rFonts w:ascii="宋体" w:hAnsi="宋体"/>
          <w:sz w:val="22"/>
          <w:szCs w:val="22"/>
        </w:rPr>
        <w:t>3</w:t>
      </w:r>
      <w:r>
        <w:rPr>
          <w:rFonts w:hint="eastAsia" w:ascii="宋体" w:hAnsi="宋体"/>
          <w:sz w:val="22"/>
          <w:szCs w:val="22"/>
        </w:rPr>
        <w:t>、乙方负责货物运输，货物运输合理损耗及计算方法：</w:t>
      </w:r>
      <w:r>
        <w:rPr>
          <w:rFonts w:ascii="宋体" w:hAnsi="宋体"/>
          <w:sz w:val="22"/>
          <w:szCs w:val="22"/>
          <w:u w:val="single"/>
        </w:rPr>
        <w:t xml:space="preserve">                       </w:t>
      </w:r>
      <w:r>
        <w:rPr>
          <w:rFonts w:hint="eastAsia" w:ascii="宋体" w:hAnsi="宋体"/>
          <w:sz w:val="22"/>
          <w:szCs w:val="22"/>
        </w:rPr>
        <w:t>。</w:t>
      </w:r>
    </w:p>
    <w:p>
      <w:pPr>
        <w:snapToGrid w:val="0"/>
        <w:spacing w:line="300" w:lineRule="exact"/>
        <w:ind w:firstLine="442" w:firstLineChars="200"/>
        <w:rPr>
          <w:rFonts w:ascii="宋体"/>
          <w:sz w:val="22"/>
          <w:szCs w:val="22"/>
        </w:rPr>
      </w:pPr>
      <w:r>
        <w:rPr>
          <w:rFonts w:hint="eastAsia" w:ascii="宋体" w:hAnsi="宋体"/>
          <w:b/>
          <w:sz w:val="22"/>
          <w:szCs w:val="22"/>
        </w:rPr>
        <w:t>第五条　交付和验收</w:t>
      </w:r>
      <w:r>
        <w:rPr>
          <w:rFonts w:ascii="宋体" w:hAnsi="宋体"/>
          <w:b/>
          <w:sz w:val="22"/>
          <w:szCs w:val="22"/>
        </w:rPr>
        <w:t xml:space="preserve">  </w:t>
      </w:r>
    </w:p>
    <w:p>
      <w:pPr>
        <w:snapToGrid w:val="0"/>
        <w:spacing w:line="3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、交货时间：</w:t>
      </w:r>
      <w:r>
        <w:rPr>
          <w:rFonts w:ascii="宋体" w:hAnsi="宋体"/>
          <w:sz w:val="22"/>
          <w:szCs w:val="22"/>
          <w:u w:val="single"/>
        </w:rPr>
        <w:t xml:space="preserve">                 </w:t>
      </w:r>
      <w:r>
        <w:rPr>
          <w:rFonts w:hint="eastAsia" w:ascii="宋体" w:hAnsi="宋体"/>
          <w:sz w:val="22"/>
          <w:szCs w:val="22"/>
        </w:rPr>
        <w:t>、地点：</w:t>
      </w:r>
      <w:r>
        <w:rPr>
          <w:rFonts w:ascii="宋体" w:hAnsi="宋体"/>
          <w:sz w:val="22"/>
          <w:szCs w:val="22"/>
          <w:u w:val="single"/>
        </w:rPr>
        <w:t xml:space="preserve">                          </w:t>
      </w:r>
      <w:r>
        <w:rPr>
          <w:rFonts w:hint="eastAsia" w:ascii="宋体" w:hAnsi="宋体"/>
          <w:sz w:val="22"/>
          <w:szCs w:val="22"/>
        </w:rPr>
        <w:t>。</w:t>
      </w:r>
    </w:p>
    <w:p>
      <w:pPr>
        <w:snapToGrid w:val="0"/>
        <w:spacing w:line="300" w:lineRule="exact"/>
        <w:ind w:firstLine="440" w:firstLineChars="200"/>
        <w:rPr>
          <w:rFonts w:ascii="宋体"/>
          <w:sz w:val="22"/>
          <w:szCs w:val="22"/>
        </w:rPr>
      </w:pPr>
      <w:r>
        <w:rPr>
          <w:rFonts w:ascii="宋体" w:hAnsi="宋体"/>
          <w:sz w:val="22"/>
          <w:szCs w:val="22"/>
        </w:rPr>
        <w:t>2</w:t>
      </w:r>
      <w:r>
        <w:rPr>
          <w:rFonts w:hint="eastAsia" w:ascii="宋体" w:hAnsi="宋体"/>
          <w:sz w:val="22"/>
          <w:szCs w:val="22"/>
        </w:rPr>
        <w:t>、乙方提供不符合招投标文件和本合同规定的货物，甲方有权拒绝接受。</w:t>
      </w:r>
    </w:p>
    <w:p>
      <w:pPr>
        <w:snapToGrid w:val="0"/>
        <w:spacing w:line="3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、乙方应将所提供货物的装箱清单、用户手册、原厂保修卡、随机资料、工具和备品、备件等交付给甲方，如有缺失应及时补齐，否则视为逾期交货。</w:t>
      </w:r>
    </w:p>
    <w:p>
      <w:pPr>
        <w:snapToGrid w:val="0"/>
        <w:spacing w:line="300" w:lineRule="exact"/>
        <w:ind w:firstLine="440" w:firstLineChars="200"/>
        <w:rPr>
          <w:rFonts w:ascii="宋体"/>
          <w:color w:val="00B0F0"/>
          <w:sz w:val="22"/>
          <w:szCs w:val="22"/>
        </w:rPr>
      </w:pPr>
      <w:r>
        <w:rPr>
          <w:rFonts w:ascii="宋体" w:hAnsi="宋体"/>
          <w:color w:val="00B0F0"/>
          <w:sz w:val="22"/>
          <w:szCs w:val="22"/>
        </w:rPr>
        <w:t>4</w:t>
      </w:r>
      <w:r>
        <w:rPr>
          <w:rFonts w:hint="eastAsia" w:ascii="宋体" w:hAnsi="宋体"/>
          <w:color w:val="00B0F0"/>
          <w:sz w:val="22"/>
          <w:szCs w:val="22"/>
        </w:rPr>
        <w:t>、系统开发完成后，乙方向甲方提出验收申请，由甲方组织专家小组进行验收，验收费用由甲方承担。</w:t>
      </w:r>
      <w:r>
        <w:rPr>
          <w:rFonts w:hint="eastAsia" w:ascii="宋体" w:hAnsi="宋体"/>
          <w:color w:val="FF0000"/>
          <w:sz w:val="22"/>
          <w:szCs w:val="22"/>
        </w:rPr>
        <w:t>如验收不通过的，则本次验收及复检费用由乙方承担。</w:t>
      </w:r>
    </w:p>
    <w:p>
      <w:pPr>
        <w:snapToGrid w:val="0"/>
        <w:spacing w:line="300" w:lineRule="exact"/>
        <w:ind w:firstLine="440" w:firstLineChars="200"/>
        <w:rPr>
          <w:rFonts w:ascii="宋体"/>
          <w:sz w:val="22"/>
          <w:szCs w:val="22"/>
        </w:rPr>
      </w:pPr>
      <w:r>
        <w:rPr>
          <w:rFonts w:ascii="宋体" w:hAnsi="宋体"/>
          <w:sz w:val="22"/>
          <w:szCs w:val="22"/>
        </w:rPr>
        <w:t>5</w:t>
      </w:r>
      <w:r>
        <w:rPr>
          <w:rFonts w:hint="eastAsia" w:ascii="宋体" w:hAnsi="宋体"/>
          <w:sz w:val="22"/>
          <w:szCs w:val="22"/>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00" w:lineRule="exact"/>
        <w:ind w:firstLine="440" w:firstLineChars="200"/>
        <w:rPr>
          <w:rFonts w:ascii="宋体"/>
          <w:sz w:val="22"/>
          <w:szCs w:val="22"/>
        </w:rPr>
      </w:pPr>
      <w:r>
        <w:rPr>
          <w:rFonts w:ascii="宋体" w:hAnsi="宋体"/>
          <w:sz w:val="22"/>
          <w:szCs w:val="22"/>
        </w:rPr>
        <w:t>6</w:t>
      </w:r>
      <w:r>
        <w:rPr>
          <w:rFonts w:hint="eastAsia" w:ascii="宋体" w:hAnsi="宋体"/>
          <w:sz w:val="22"/>
          <w:szCs w:val="22"/>
        </w:rPr>
        <w:t>、甲方对验收有异议的，在验收后五个工作日内以书面形式向乙方提出，乙方应自收到甲方书面异议后</w:t>
      </w:r>
      <w:r>
        <w:rPr>
          <w:rFonts w:ascii="宋体" w:hAnsi="宋体"/>
          <w:sz w:val="22"/>
          <w:szCs w:val="22"/>
          <w:u w:val="single"/>
        </w:rPr>
        <w:t xml:space="preserve">      </w:t>
      </w:r>
      <w:r>
        <w:rPr>
          <w:rFonts w:hint="eastAsia" w:ascii="宋体" w:hAnsi="宋体"/>
          <w:sz w:val="22"/>
          <w:szCs w:val="22"/>
        </w:rPr>
        <w:t>日内及时予以解决。</w:t>
      </w:r>
    </w:p>
    <w:p>
      <w:pPr>
        <w:snapToGrid w:val="0"/>
        <w:spacing w:line="300" w:lineRule="exact"/>
        <w:ind w:firstLine="442" w:firstLineChars="200"/>
        <w:rPr>
          <w:rFonts w:ascii="宋体"/>
          <w:b/>
          <w:sz w:val="22"/>
          <w:szCs w:val="22"/>
        </w:rPr>
      </w:pPr>
      <w:r>
        <w:rPr>
          <w:rFonts w:hint="eastAsia" w:ascii="宋体" w:hAnsi="宋体"/>
          <w:b/>
          <w:sz w:val="22"/>
          <w:szCs w:val="22"/>
        </w:rPr>
        <w:t>第六条　安装和培训</w:t>
      </w:r>
    </w:p>
    <w:p>
      <w:pPr>
        <w:snapToGrid w:val="0"/>
        <w:spacing w:line="3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、甲方应提供必要安装条件（如场地、电源、水源等）。</w:t>
      </w:r>
    </w:p>
    <w:p>
      <w:pPr>
        <w:snapToGrid w:val="0"/>
        <w:spacing w:line="300" w:lineRule="exact"/>
        <w:ind w:firstLine="440" w:firstLineChars="200"/>
        <w:rPr>
          <w:rFonts w:ascii="宋体"/>
          <w:sz w:val="22"/>
          <w:szCs w:val="22"/>
          <w:u w:val="single"/>
        </w:rPr>
      </w:pPr>
      <w:r>
        <w:rPr>
          <w:rFonts w:ascii="宋体" w:hAnsi="宋体"/>
          <w:sz w:val="22"/>
          <w:szCs w:val="22"/>
        </w:rPr>
        <w:t>2</w:t>
      </w:r>
      <w:r>
        <w:rPr>
          <w:rFonts w:hint="eastAsia" w:ascii="宋体" w:hAnsi="宋体"/>
          <w:sz w:val="22"/>
          <w:szCs w:val="22"/>
        </w:rPr>
        <w:t>、乙方负责甲方有关人员的培训。培训时间、地点：</w:t>
      </w:r>
      <w:r>
        <w:rPr>
          <w:rFonts w:ascii="宋体" w:hAnsi="宋体"/>
          <w:sz w:val="22"/>
          <w:szCs w:val="22"/>
          <w:u w:val="single"/>
        </w:rPr>
        <w:t xml:space="preserve">                   </w:t>
      </w:r>
      <w:r>
        <w:rPr>
          <w:rFonts w:hint="eastAsia" w:ascii="宋体" w:hAnsi="宋体"/>
          <w:sz w:val="22"/>
          <w:szCs w:val="22"/>
          <w:u w:val="single"/>
        </w:rPr>
        <w:t>。</w:t>
      </w:r>
    </w:p>
    <w:p>
      <w:pPr>
        <w:snapToGrid w:val="0"/>
        <w:spacing w:line="300" w:lineRule="exact"/>
        <w:ind w:firstLine="442" w:firstLineChars="200"/>
        <w:rPr>
          <w:rFonts w:ascii="宋体"/>
          <w:b/>
          <w:sz w:val="22"/>
          <w:szCs w:val="22"/>
        </w:rPr>
      </w:pPr>
      <w:r>
        <w:rPr>
          <w:rFonts w:hint="eastAsia" w:ascii="宋体" w:hAnsi="宋体"/>
          <w:b/>
          <w:sz w:val="22"/>
          <w:szCs w:val="22"/>
        </w:rPr>
        <w:t>第七条</w:t>
      </w:r>
      <w:r>
        <w:rPr>
          <w:rFonts w:ascii="宋体" w:hAnsi="宋体"/>
          <w:b/>
          <w:sz w:val="22"/>
          <w:szCs w:val="22"/>
        </w:rPr>
        <w:t xml:space="preserve">  </w:t>
      </w:r>
      <w:r>
        <w:rPr>
          <w:rFonts w:hint="eastAsia" w:ascii="宋体" w:hAnsi="宋体"/>
          <w:b/>
          <w:sz w:val="22"/>
          <w:szCs w:val="22"/>
        </w:rPr>
        <w:t>售后服务、保修期</w:t>
      </w:r>
    </w:p>
    <w:p>
      <w:pPr>
        <w:snapToGrid w:val="0"/>
        <w:spacing w:line="3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、乙方应按照国家有关法律法规和“三包”规定以及招投标文件和本合同所附的《服务承诺》，为甲方提供售后服务。</w:t>
      </w:r>
    </w:p>
    <w:p>
      <w:pPr>
        <w:snapToGrid w:val="0"/>
        <w:spacing w:line="300" w:lineRule="exact"/>
        <w:ind w:firstLine="440" w:firstLineChars="200"/>
        <w:rPr>
          <w:rFonts w:ascii="宋体"/>
          <w:sz w:val="22"/>
          <w:szCs w:val="22"/>
          <w:u w:val="single"/>
        </w:rPr>
      </w:pPr>
      <w:r>
        <w:rPr>
          <w:rFonts w:ascii="宋体" w:hAnsi="宋体"/>
          <w:sz w:val="22"/>
          <w:szCs w:val="22"/>
        </w:rPr>
        <w:t>2</w:t>
      </w:r>
      <w:r>
        <w:rPr>
          <w:rFonts w:hint="eastAsia" w:ascii="宋体" w:hAnsi="宋体"/>
          <w:sz w:val="22"/>
          <w:szCs w:val="22"/>
        </w:rPr>
        <w:t>、货物保修起止时间；</w:t>
      </w:r>
      <w:r>
        <w:rPr>
          <w:rFonts w:ascii="宋体" w:hAnsi="宋体"/>
          <w:sz w:val="22"/>
          <w:szCs w:val="22"/>
          <w:u w:val="single"/>
        </w:rPr>
        <w:t xml:space="preserve">                                          </w:t>
      </w:r>
      <w:r>
        <w:rPr>
          <w:rFonts w:hint="eastAsia" w:ascii="宋体" w:hAnsi="宋体"/>
          <w:sz w:val="22"/>
          <w:szCs w:val="22"/>
        </w:rPr>
        <w:t>。</w:t>
      </w:r>
    </w:p>
    <w:p>
      <w:pPr>
        <w:snapToGrid w:val="0"/>
        <w:spacing w:line="300" w:lineRule="exact"/>
        <w:ind w:firstLine="440" w:firstLineChars="200"/>
        <w:rPr>
          <w:rFonts w:ascii="宋体"/>
          <w:sz w:val="22"/>
          <w:szCs w:val="22"/>
          <w:u w:val="single"/>
        </w:rPr>
      </w:pPr>
      <w:r>
        <w:rPr>
          <w:rFonts w:ascii="宋体" w:hAnsi="宋体"/>
          <w:sz w:val="22"/>
          <w:szCs w:val="22"/>
        </w:rPr>
        <w:t>3</w:t>
      </w:r>
      <w:r>
        <w:rPr>
          <w:rFonts w:hint="eastAsia" w:ascii="宋体" w:hAnsi="宋体"/>
          <w:sz w:val="22"/>
          <w:szCs w:val="22"/>
        </w:rPr>
        <w:t>、乙方提供的服务承诺和售后服务及保修期责任等其它具体约定事项。（见合同附件）</w:t>
      </w:r>
    </w:p>
    <w:p>
      <w:pPr>
        <w:snapToGrid w:val="0"/>
        <w:spacing w:line="300" w:lineRule="exact"/>
        <w:ind w:firstLine="442" w:firstLineChars="200"/>
        <w:rPr>
          <w:rFonts w:ascii="宋体"/>
          <w:sz w:val="22"/>
          <w:szCs w:val="22"/>
        </w:rPr>
      </w:pPr>
      <w:r>
        <w:rPr>
          <w:rFonts w:hint="eastAsia" w:ascii="宋体" w:hAnsi="宋体"/>
          <w:b/>
          <w:sz w:val="22"/>
          <w:szCs w:val="22"/>
        </w:rPr>
        <w:t>第八条　付款方式</w:t>
      </w:r>
    </w:p>
    <w:p>
      <w:pPr>
        <w:snapToGrid w:val="0"/>
        <w:spacing w:line="300" w:lineRule="exact"/>
        <w:ind w:right="33" w:firstLine="440" w:firstLineChars="200"/>
        <w:rPr>
          <w:rFonts w:ascii="宋体" w:hAnsi="宋体"/>
          <w:sz w:val="22"/>
          <w:szCs w:val="22"/>
        </w:rPr>
      </w:pPr>
      <w:r>
        <w:rPr>
          <w:rFonts w:ascii="宋体" w:hAnsi="宋体"/>
          <w:sz w:val="22"/>
          <w:szCs w:val="22"/>
        </w:rPr>
        <w:t>1</w:t>
      </w:r>
      <w:r>
        <w:rPr>
          <w:rFonts w:hint="eastAsia" w:ascii="宋体" w:hAnsi="宋体"/>
          <w:sz w:val="22"/>
          <w:szCs w:val="22"/>
        </w:rPr>
        <w:t>、付款方式：</w:t>
      </w:r>
      <w:r>
        <w:rPr>
          <w:rFonts w:hint="eastAsia"/>
        </w:rPr>
        <w:t>项目经学校验收合格确认7个工作日内，由甲方收到乙方开具的合同价100%发票后甲方支付合同价 95% 尾款；剩余5%货款自验收之日起五年质保期满后，如产品无重大质量问题时由乙方提出申请，甲方在7个工作日内支付 5% 余款（质保金）。甲方可根据项目实施的实际情况对项目付款比例进行调整。</w:t>
      </w:r>
    </w:p>
    <w:p>
      <w:pPr>
        <w:snapToGrid w:val="0"/>
        <w:spacing w:line="300" w:lineRule="exact"/>
        <w:ind w:left="-61" w:leftChars="-29" w:firstLine="541" w:firstLineChars="245"/>
        <w:rPr>
          <w:rFonts w:ascii="宋体"/>
          <w:b/>
          <w:sz w:val="22"/>
          <w:szCs w:val="22"/>
        </w:rPr>
      </w:pPr>
      <w:r>
        <w:rPr>
          <w:rFonts w:hint="eastAsia" w:ascii="宋体" w:hAnsi="宋体"/>
          <w:b/>
          <w:sz w:val="22"/>
          <w:szCs w:val="22"/>
        </w:rPr>
        <w:t>第九条　质量保证金</w:t>
      </w:r>
    </w:p>
    <w:p>
      <w:pPr>
        <w:snapToGrid w:val="0"/>
        <w:spacing w:line="300" w:lineRule="exact"/>
        <w:ind w:left="-61" w:leftChars="-29" w:firstLine="539" w:firstLineChars="245"/>
        <w:rPr>
          <w:rFonts w:ascii="宋体"/>
          <w:sz w:val="22"/>
          <w:szCs w:val="22"/>
        </w:rPr>
      </w:pPr>
      <w:r>
        <w:rPr>
          <w:rFonts w:hint="eastAsia" w:ascii="宋体" w:hAnsi="宋体"/>
          <w:sz w:val="22"/>
          <w:szCs w:val="22"/>
        </w:rPr>
        <w:t>乙方应在项目质保期满后7天内内按本合同合计金额</w:t>
      </w:r>
      <w:r>
        <w:rPr>
          <w:rFonts w:ascii="宋体" w:hAnsi="宋体"/>
          <w:sz w:val="22"/>
          <w:szCs w:val="22"/>
          <w:u w:val="single"/>
        </w:rPr>
        <w:t xml:space="preserve">  5</w:t>
      </w:r>
      <w:r>
        <w:rPr>
          <w:rFonts w:hint="eastAsia" w:ascii="宋体" w:hAnsi="宋体"/>
          <w:sz w:val="22"/>
          <w:szCs w:val="22"/>
          <w:u w:val="single"/>
        </w:rPr>
        <w:t>%</w:t>
      </w:r>
      <w:r>
        <w:rPr>
          <w:rFonts w:ascii="宋体" w:hAnsi="宋体"/>
          <w:sz w:val="22"/>
          <w:szCs w:val="22"/>
          <w:u w:val="single"/>
        </w:rPr>
        <w:t xml:space="preserve">   </w:t>
      </w:r>
      <w:r>
        <w:rPr>
          <w:rFonts w:hint="eastAsia" w:ascii="宋体" w:hAnsi="宋体"/>
          <w:sz w:val="22"/>
          <w:szCs w:val="22"/>
        </w:rPr>
        <w:t>比例向甲方一次付清质保金（无息），</w:t>
      </w:r>
      <w:r>
        <w:rPr>
          <w:rFonts w:hint="eastAsia"/>
        </w:rPr>
        <w:t>（注：中标人若不能完全履行合同，质保金不返还；中标人若完全履行合同，质保金在免费售后服务期满后，凭采购人使用部门签署的《退还质保金审批表》到采购人财务部门办理无息退还手续）。</w:t>
      </w:r>
    </w:p>
    <w:p>
      <w:pPr>
        <w:snapToGrid w:val="0"/>
        <w:spacing w:line="300" w:lineRule="exact"/>
        <w:ind w:firstLine="442" w:firstLineChars="200"/>
        <w:rPr>
          <w:rFonts w:ascii="宋体"/>
          <w:b/>
          <w:sz w:val="22"/>
          <w:szCs w:val="22"/>
        </w:rPr>
      </w:pPr>
      <w:r>
        <w:rPr>
          <w:rFonts w:hint="eastAsia" w:ascii="宋体" w:hAnsi="宋体"/>
          <w:b/>
          <w:sz w:val="22"/>
          <w:szCs w:val="22"/>
        </w:rPr>
        <w:t>第十条　税费</w:t>
      </w:r>
    </w:p>
    <w:p>
      <w:pPr>
        <w:snapToGrid w:val="0"/>
        <w:spacing w:line="300" w:lineRule="exact"/>
        <w:ind w:firstLine="440" w:firstLineChars="200"/>
        <w:rPr>
          <w:rFonts w:ascii="宋体"/>
          <w:sz w:val="22"/>
          <w:szCs w:val="22"/>
        </w:rPr>
      </w:pPr>
      <w:r>
        <w:rPr>
          <w:rFonts w:hint="eastAsia" w:ascii="宋体" w:hAnsi="宋体"/>
          <w:sz w:val="22"/>
          <w:szCs w:val="22"/>
        </w:rPr>
        <w:t>本合同执行中相关的一切税费均由乙方承担。</w:t>
      </w:r>
    </w:p>
    <w:p>
      <w:pPr>
        <w:snapToGrid w:val="0"/>
        <w:spacing w:line="300" w:lineRule="exact"/>
        <w:ind w:firstLine="442" w:firstLineChars="200"/>
        <w:rPr>
          <w:rFonts w:ascii="宋体"/>
          <w:b/>
          <w:sz w:val="22"/>
          <w:szCs w:val="22"/>
        </w:rPr>
      </w:pPr>
      <w:r>
        <w:rPr>
          <w:rFonts w:hint="eastAsia" w:ascii="宋体" w:hAnsi="宋体"/>
          <w:b/>
          <w:sz w:val="22"/>
          <w:szCs w:val="22"/>
        </w:rPr>
        <w:t>第十一条、质量保证及售后服务</w:t>
      </w:r>
    </w:p>
    <w:p>
      <w:pPr>
        <w:snapToGrid w:val="0"/>
        <w:spacing w:line="300" w:lineRule="exact"/>
        <w:ind w:firstLine="440" w:firstLineChars="200"/>
        <w:rPr>
          <w:rFonts w:ascii="宋体"/>
          <w:sz w:val="22"/>
          <w:szCs w:val="22"/>
        </w:rPr>
      </w:pPr>
      <w:r>
        <w:rPr>
          <w:rFonts w:ascii="宋体" w:hAnsi="宋体"/>
          <w:sz w:val="22"/>
          <w:szCs w:val="22"/>
        </w:rPr>
        <w:t xml:space="preserve">1. </w:t>
      </w:r>
      <w:r>
        <w:rPr>
          <w:rFonts w:hint="eastAsia" w:ascii="宋体" w:hAnsi="宋体"/>
          <w:sz w:val="22"/>
          <w:szCs w:val="22"/>
        </w:rPr>
        <w:t>乙方应按招标文件规定的货物性能、技术要求、质量标准向甲方提供未经使用的全新产品。</w:t>
      </w:r>
    </w:p>
    <w:p>
      <w:pPr>
        <w:pStyle w:val="4"/>
        <w:snapToGrid w:val="0"/>
        <w:spacing w:before="120" w:after="120" w:line="300" w:lineRule="exact"/>
        <w:rPr>
          <w:rFonts w:hAnsi="宋体"/>
          <w:sz w:val="22"/>
          <w:szCs w:val="22"/>
        </w:rPr>
      </w:pPr>
      <w:r>
        <w:rPr>
          <w:rFonts w:hint="eastAsia" w:hAnsi="宋体"/>
          <w:sz w:val="22"/>
          <w:szCs w:val="22"/>
        </w:rPr>
        <w:t>对达不到要求者，根据实际情况，经双方协商，可按以下办法处理：</w:t>
      </w:r>
    </w:p>
    <w:p>
      <w:pPr>
        <w:pStyle w:val="4"/>
        <w:snapToGrid w:val="0"/>
        <w:spacing w:before="120" w:after="120" w:line="300" w:lineRule="exact"/>
        <w:ind w:firstLine="440" w:firstLineChars="200"/>
        <w:rPr>
          <w:rFonts w:hAnsi="宋体"/>
          <w:sz w:val="22"/>
          <w:szCs w:val="22"/>
        </w:rPr>
      </w:pPr>
      <w:r>
        <w:rPr>
          <w:rFonts w:hint="eastAsia" w:hAnsi="宋体"/>
          <w:sz w:val="22"/>
          <w:szCs w:val="22"/>
        </w:rPr>
        <w:t>⑴更换：由乙方承担所发生的全部费用。</w:t>
      </w:r>
    </w:p>
    <w:p>
      <w:pPr>
        <w:pStyle w:val="4"/>
        <w:snapToGrid w:val="0"/>
        <w:spacing w:before="120" w:after="120" w:line="300" w:lineRule="exact"/>
        <w:ind w:firstLine="420"/>
        <w:rPr>
          <w:rFonts w:hAnsi="宋体"/>
          <w:sz w:val="22"/>
          <w:szCs w:val="22"/>
        </w:rPr>
      </w:pPr>
      <w:r>
        <w:rPr>
          <w:rFonts w:hint="eastAsia" w:hAnsi="宋体"/>
          <w:sz w:val="22"/>
          <w:szCs w:val="22"/>
        </w:rPr>
        <w:t>⑵贬值处理：由甲乙双方合议定价。</w:t>
      </w:r>
    </w:p>
    <w:p>
      <w:pPr>
        <w:pStyle w:val="4"/>
        <w:snapToGrid w:val="0"/>
        <w:spacing w:before="120" w:after="120" w:line="300" w:lineRule="exact"/>
        <w:ind w:left="420" w:leftChars="200"/>
        <w:rPr>
          <w:rFonts w:hAnsi="宋体"/>
          <w:sz w:val="22"/>
          <w:szCs w:val="22"/>
        </w:rPr>
      </w:pPr>
      <w:r>
        <w:rPr>
          <w:rFonts w:hint="eastAsia" w:hAnsi="宋体"/>
          <w:sz w:val="22"/>
          <w:szCs w:val="22"/>
        </w:rPr>
        <w:t>⑶退货处理：乙方应退还甲方支付的合同款，同时应承担该货物的直接费用（运输、保险、检验、货款利息及银行手续费等）。</w:t>
      </w:r>
    </w:p>
    <w:p>
      <w:pPr>
        <w:pStyle w:val="4"/>
        <w:snapToGrid w:val="0"/>
        <w:spacing w:before="120" w:after="120" w:line="300" w:lineRule="exact"/>
        <w:ind w:firstLine="440" w:firstLineChars="200"/>
        <w:rPr>
          <w:rFonts w:hAnsi="宋体"/>
          <w:sz w:val="22"/>
          <w:szCs w:val="22"/>
        </w:rPr>
      </w:pPr>
      <w:r>
        <w:rPr>
          <w:rFonts w:hAnsi="宋体"/>
          <w:sz w:val="22"/>
          <w:szCs w:val="22"/>
        </w:rPr>
        <w:t>2</w:t>
      </w:r>
      <w:r>
        <w:rPr>
          <w:rFonts w:hint="eastAsia" w:hAnsi="宋体"/>
          <w:sz w:val="22"/>
          <w:szCs w:val="22"/>
        </w:rPr>
        <w:t>、如在使用过程中发生质量问题，乙方在接到甲方通知后在</w:t>
      </w:r>
      <w:r>
        <w:rPr>
          <w:rFonts w:hAnsi="宋体"/>
          <w:sz w:val="22"/>
          <w:szCs w:val="22"/>
          <w:u w:val="single"/>
        </w:rPr>
        <w:t xml:space="preserve">  2  </w:t>
      </w:r>
      <w:r>
        <w:rPr>
          <w:rFonts w:hint="eastAsia" w:hAnsi="宋体"/>
          <w:sz w:val="22"/>
          <w:szCs w:val="22"/>
        </w:rPr>
        <w:t>小时内到达甲方现场或指导甲方及时处理。</w:t>
      </w:r>
    </w:p>
    <w:p>
      <w:pPr>
        <w:pStyle w:val="4"/>
        <w:snapToGrid w:val="0"/>
        <w:spacing w:before="120" w:after="120" w:line="300" w:lineRule="exact"/>
        <w:ind w:firstLine="440" w:firstLineChars="200"/>
        <w:rPr>
          <w:rFonts w:hAnsi="宋体"/>
          <w:sz w:val="22"/>
          <w:szCs w:val="22"/>
        </w:rPr>
      </w:pPr>
      <w:r>
        <w:rPr>
          <w:rFonts w:hAnsi="宋体"/>
          <w:sz w:val="22"/>
          <w:szCs w:val="22"/>
        </w:rPr>
        <w:t>3</w:t>
      </w:r>
      <w:r>
        <w:rPr>
          <w:rFonts w:hint="eastAsia" w:hAnsi="宋体"/>
          <w:sz w:val="22"/>
          <w:szCs w:val="22"/>
        </w:rPr>
        <w:t>、在质保期内，乙方应对货物出现的质量及安全问题负责处理解决并承担一切费用。</w:t>
      </w:r>
    </w:p>
    <w:p>
      <w:pPr>
        <w:pStyle w:val="4"/>
        <w:snapToGrid w:val="0"/>
        <w:spacing w:before="120" w:after="120" w:line="300" w:lineRule="exact"/>
        <w:ind w:firstLine="433" w:firstLineChars="196"/>
        <w:rPr>
          <w:rFonts w:hAnsi="宋体"/>
          <w:b/>
          <w:color w:val="0000FF"/>
          <w:sz w:val="22"/>
          <w:szCs w:val="22"/>
        </w:rPr>
      </w:pPr>
      <w:r>
        <w:rPr>
          <w:rFonts w:hint="eastAsia" w:hAnsi="宋体"/>
          <w:b/>
          <w:sz w:val="22"/>
          <w:szCs w:val="22"/>
        </w:rPr>
        <w:t>第十二条、调试和验收</w:t>
      </w:r>
    </w:p>
    <w:p>
      <w:pPr>
        <w:pStyle w:val="4"/>
        <w:snapToGrid w:val="0"/>
        <w:spacing w:before="120" w:after="120" w:line="300" w:lineRule="exact"/>
        <w:ind w:firstLine="440" w:firstLineChars="200"/>
        <w:jc w:val="left"/>
        <w:rPr>
          <w:rFonts w:hAnsi="宋体"/>
          <w:sz w:val="22"/>
          <w:szCs w:val="22"/>
        </w:rPr>
      </w:pPr>
      <w:r>
        <w:rPr>
          <w:rFonts w:hAnsi="宋体"/>
          <w:sz w:val="22"/>
          <w:szCs w:val="22"/>
        </w:rPr>
        <w:t>1</w:t>
      </w:r>
      <w:r>
        <w:rPr>
          <w:rFonts w:hint="eastAsia" w:hAnsi="宋体"/>
          <w:sz w:val="22"/>
          <w:szCs w:val="22"/>
        </w:rPr>
        <w:t>、甲方对乙方提交的货物依据招标文件上的技术规格要求和国家有关质量标准进行现场初步验收，外观、说明书符合招标文件技术要求的，给予签收，初步验收不合格的不予签收。</w:t>
      </w:r>
    </w:p>
    <w:p>
      <w:pPr>
        <w:pStyle w:val="4"/>
        <w:snapToGrid w:val="0"/>
        <w:spacing w:before="120" w:after="120" w:line="300" w:lineRule="exact"/>
        <w:ind w:firstLine="440" w:firstLineChars="200"/>
        <w:rPr>
          <w:rFonts w:hAnsi="宋体"/>
          <w:sz w:val="22"/>
          <w:szCs w:val="22"/>
        </w:rPr>
      </w:pPr>
      <w:r>
        <w:rPr>
          <w:rFonts w:hAnsi="宋体"/>
          <w:sz w:val="22"/>
          <w:szCs w:val="22"/>
        </w:rPr>
        <w:t>2</w:t>
      </w:r>
      <w:r>
        <w:rPr>
          <w:rFonts w:hint="eastAsia" w:hAnsi="宋体"/>
          <w:sz w:val="22"/>
          <w:szCs w:val="22"/>
        </w:rPr>
        <w:t>、乙方交货前应对产品作出全面检查和对验收文件进行整理，并列出清单，作为甲方收货验收和使用的技术条件依据，检验的结果应随货物交甲方。</w:t>
      </w:r>
    </w:p>
    <w:p>
      <w:pPr>
        <w:pStyle w:val="4"/>
        <w:snapToGrid w:val="0"/>
        <w:spacing w:before="120" w:after="120" w:line="300" w:lineRule="exact"/>
        <w:ind w:firstLine="440" w:firstLineChars="200"/>
        <w:rPr>
          <w:rFonts w:hAnsi="宋体"/>
          <w:sz w:val="22"/>
          <w:szCs w:val="22"/>
          <w:u w:val="single"/>
        </w:rPr>
      </w:pPr>
      <w:r>
        <w:rPr>
          <w:rFonts w:hAnsi="宋体"/>
          <w:sz w:val="22"/>
          <w:szCs w:val="22"/>
        </w:rPr>
        <w:t>3</w:t>
      </w:r>
      <w:r>
        <w:rPr>
          <w:rFonts w:hint="eastAsia" w:hAnsi="宋体"/>
          <w:sz w:val="22"/>
          <w:szCs w:val="22"/>
        </w:rPr>
        <w:t>、甲方对乙方提供的货物在使用前进行调试时，乙方需负责安装并培训甲方的使用操作人员，并协助甲方一起调试，直到符合技术要求，甲方才做最终验收。</w:t>
      </w:r>
    </w:p>
    <w:p>
      <w:pPr>
        <w:pStyle w:val="4"/>
        <w:snapToGrid w:val="0"/>
        <w:spacing w:before="120" w:after="120" w:line="300" w:lineRule="exact"/>
        <w:ind w:firstLine="440" w:firstLineChars="200"/>
        <w:rPr>
          <w:rFonts w:hAnsi="宋体"/>
          <w:sz w:val="22"/>
          <w:szCs w:val="22"/>
        </w:rPr>
      </w:pPr>
      <w:r>
        <w:rPr>
          <w:rFonts w:hAnsi="宋体"/>
          <w:sz w:val="22"/>
          <w:szCs w:val="22"/>
        </w:rPr>
        <w:t>4</w:t>
      </w:r>
      <w:r>
        <w:rPr>
          <w:rFonts w:hint="eastAsia" w:hAnsi="宋体"/>
          <w:sz w:val="22"/>
          <w:szCs w:val="22"/>
        </w:rPr>
        <w:t>、对技术复杂的货物，甲方应请国家认可的专业检测机构参与初步验收及最终验收，并由其出具质量检测报告。</w:t>
      </w:r>
    </w:p>
    <w:p>
      <w:pPr>
        <w:snapToGrid w:val="0"/>
        <w:spacing w:line="300" w:lineRule="exact"/>
        <w:ind w:firstLine="440" w:firstLineChars="200"/>
        <w:rPr>
          <w:rFonts w:ascii="宋体"/>
          <w:sz w:val="22"/>
          <w:szCs w:val="22"/>
        </w:rPr>
      </w:pPr>
      <w:r>
        <w:rPr>
          <w:rFonts w:ascii="宋体" w:hAnsi="宋体"/>
          <w:sz w:val="22"/>
          <w:szCs w:val="22"/>
        </w:rPr>
        <w:t>5</w:t>
      </w:r>
      <w:r>
        <w:rPr>
          <w:rFonts w:hint="eastAsia" w:ascii="宋体" w:hAnsi="宋体"/>
          <w:sz w:val="22"/>
          <w:szCs w:val="22"/>
        </w:rPr>
        <w:t>、验收时乙方必须在现场，验收完毕后作出验收结果报告；验收费用由乙方负责。</w:t>
      </w:r>
    </w:p>
    <w:p>
      <w:pPr>
        <w:pStyle w:val="4"/>
        <w:snapToGrid w:val="0"/>
        <w:spacing w:before="120" w:after="120" w:line="300" w:lineRule="exact"/>
        <w:ind w:firstLine="433" w:firstLineChars="196"/>
        <w:rPr>
          <w:rFonts w:hAnsi="宋体"/>
          <w:b/>
          <w:sz w:val="22"/>
          <w:szCs w:val="22"/>
        </w:rPr>
      </w:pPr>
      <w:r>
        <w:rPr>
          <w:rFonts w:hint="eastAsia" w:hAnsi="宋体"/>
          <w:b/>
          <w:sz w:val="22"/>
          <w:szCs w:val="22"/>
        </w:rPr>
        <w:t>第十三条、货物包装、发运及运输</w:t>
      </w:r>
    </w:p>
    <w:p>
      <w:pPr>
        <w:pStyle w:val="4"/>
        <w:snapToGrid w:val="0"/>
        <w:spacing w:before="120" w:after="120" w:line="300" w:lineRule="exact"/>
        <w:ind w:firstLine="440" w:firstLineChars="200"/>
        <w:rPr>
          <w:rFonts w:hAnsi="宋体"/>
          <w:sz w:val="22"/>
          <w:szCs w:val="22"/>
        </w:rPr>
      </w:pPr>
      <w:r>
        <w:rPr>
          <w:rFonts w:hAnsi="宋体"/>
          <w:sz w:val="22"/>
          <w:szCs w:val="22"/>
        </w:rPr>
        <w:t>1</w:t>
      </w:r>
      <w:r>
        <w:rPr>
          <w:rFonts w:hint="eastAsia" w:hAnsi="宋体"/>
          <w:sz w:val="22"/>
          <w:szCs w:val="22"/>
        </w:rPr>
        <w:t>、乙方应在货物发运前对其进行满足运输距离、防潮、防震、防锈和防破损装卸等要求包装，以保证货物安全运达甲方指定地点。</w:t>
      </w:r>
    </w:p>
    <w:p>
      <w:pPr>
        <w:pStyle w:val="4"/>
        <w:snapToGrid w:val="0"/>
        <w:spacing w:before="120" w:after="120" w:line="300" w:lineRule="exact"/>
        <w:ind w:left="420" w:leftChars="200"/>
        <w:rPr>
          <w:rFonts w:hAnsi="宋体"/>
          <w:sz w:val="22"/>
          <w:szCs w:val="22"/>
        </w:rPr>
      </w:pPr>
      <w:r>
        <w:rPr>
          <w:rFonts w:hAnsi="宋体"/>
          <w:sz w:val="22"/>
          <w:szCs w:val="22"/>
        </w:rPr>
        <w:t>2</w:t>
      </w:r>
      <w:r>
        <w:rPr>
          <w:rFonts w:hint="eastAsia" w:hAnsi="宋体"/>
          <w:sz w:val="22"/>
          <w:szCs w:val="22"/>
        </w:rPr>
        <w:t>、使用说明书、质量检验证明书、随配附件和工具以及清单一并附于货物内。</w:t>
      </w:r>
    </w:p>
    <w:p>
      <w:pPr>
        <w:pStyle w:val="4"/>
        <w:snapToGrid w:val="0"/>
        <w:spacing w:before="120" w:after="120" w:line="300" w:lineRule="exact"/>
        <w:ind w:left="420" w:leftChars="200"/>
        <w:rPr>
          <w:rFonts w:hAnsi="宋体"/>
          <w:sz w:val="22"/>
          <w:szCs w:val="22"/>
        </w:rPr>
      </w:pPr>
      <w:r>
        <w:rPr>
          <w:rFonts w:hAnsi="宋体"/>
          <w:sz w:val="22"/>
          <w:szCs w:val="22"/>
        </w:rPr>
        <w:t>3</w:t>
      </w:r>
      <w:r>
        <w:rPr>
          <w:rFonts w:hint="eastAsia" w:hAnsi="宋体"/>
          <w:sz w:val="22"/>
          <w:szCs w:val="22"/>
        </w:rPr>
        <w:t>、乙方在货物发运手续办理完毕后二十四小时内或货到甲方四十八小时前通知甲方，以准备接货。</w:t>
      </w:r>
    </w:p>
    <w:p>
      <w:pPr>
        <w:pStyle w:val="4"/>
        <w:snapToGrid w:val="0"/>
        <w:spacing w:before="120" w:after="120" w:line="300" w:lineRule="exact"/>
        <w:ind w:left="420" w:leftChars="200"/>
        <w:rPr>
          <w:rFonts w:hAnsi="宋体"/>
          <w:sz w:val="22"/>
          <w:szCs w:val="22"/>
        </w:rPr>
      </w:pPr>
      <w:r>
        <w:rPr>
          <w:rFonts w:hAnsi="宋体"/>
          <w:sz w:val="22"/>
          <w:szCs w:val="22"/>
        </w:rPr>
        <w:t>4</w:t>
      </w:r>
      <w:r>
        <w:rPr>
          <w:rFonts w:hint="eastAsia" w:hAnsi="宋体"/>
          <w:sz w:val="22"/>
          <w:szCs w:val="22"/>
        </w:rPr>
        <w:t>、货物在交付甲方前发生的风险均由乙方负责。</w:t>
      </w:r>
    </w:p>
    <w:p>
      <w:pPr>
        <w:snapToGrid w:val="0"/>
        <w:spacing w:line="300" w:lineRule="exact"/>
        <w:ind w:firstLine="440" w:firstLineChars="200"/>
        <w:rPr>
          <w:rFonts w:ascii="宋体"/>
          <w:spacing w:val="-8"/>
          <w:sz w:val="22"/>
          <w:szCs w:val="22"/>
        </w:rPr>
      </w:pPr>
      <w:r>
        <w:rPr>
          <w:rFonts w:ascii="宋体" w:hAnsi="宋体"/>
          <w:sz w:val="22"/>
          <w:szCs w:val="22"/>
        </w:rPr>
        <w:t>5</w:t>
      </w:r>
      <w:r>
        <w:rPr>
          <w:rFonts w:hint="eastAsia" w:ascii="宋体" w:hAnsi="宋体"/>
          <w:sz w:val="22"/>
          <w:szCs w:val="22"/>
        </w:rPr>
        <w:t>、货</w:t>
      </w:r>
      <w:r>
        <w:rPr>
          <w:rFonts w:hint="eastAsia" w:ascii="宋体" w:hAnsi="宋体"/>
          <w:spacing w:val="-8"/>
          <w:sz w:val="22"/>
          <w:szCs w:val="22"/>
        </w:rPr>
        <w:t>物在规定的交付期限内由乙方送达甲方指定的地点视为交付，乙方同时需通知甲方货物已送达。</w:t>
      </w:r>
    </w:p>
    <w:p>
      <w:pPr>
        <w:snapToGrid w:val="0"/>
        <w:spacing w:line="300" w:lineRule="exact"/>
        <w:ind w:firstLine="442" w:firstLineChars="200"/>
        <w:rPr>
          <w:rFonts w:ascii="宋体"/>
          <w:b/>
          <w:sz w:val="22"/>
          <w:szCs w:val="22"/>
        </w:rPr>
      </w:pPr>
      <w:r>
        <w:rPr>
          <w:rFonts w:hint="eastAsia" w:ascii="宋体" w:hAnsi="宋体"/>
          <w:b/>
          <w:sz w:val="22"/>
          <w:szCs w:val="22"/>
        </w:rPr>
        <w:t>第十四条　违约责任</w:t>
      </w:r>
    </w:p>
    <w:p>
      <w:pPr>
        <w:snapToGrid w:val="0"/>
        <w:spacing w:line="300" w:lineRule="exact"/>
        <w:ind w:firstLine="565" w:firstLineChars="257"/>
        <w:rPr>
          <w:rFonts w:ascii="宋体"/>
          <w:sz w:val="22"/>
          <w:szCs w:val="22"/>
        </w:rPr>
      </w:pPr>
      <w:r>
        <w:rPr>
          <w:rFonts w:ascii="宋体" w:hAnsi="宋体"/>
          <w:sz w:val="22"/>
          <w:szCs w:val="22"/>
        </w:rPr>
        <w:t>1</w:t>
      </w:r>
      <w:r>
        <w:rPr>
          <w:rFonts w:hint="eastAsia" w:ascii="宋体" w:hAnsi="宋体"/>
          <w:sz w:val="22"/>
          <w:szCs w:val="22"/>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sz w:val="22"/>
          <w:szCs w:val="22"/>
        </w:rPr>
        <w:t xml:space="preserve"> 5%</w:t>
      </w:r>
      <w:r>
        <w:rPr>
          <w:rFonts w:hint="eastAsia" w:ascii="宋体" w:hAnsi="宋体"/>
          <w:sz w:val="22"/>
          <w:szCs w:val="22"/>
        </w:rPr>
        <w:t>违约金并赔偿甲方经济损失。</w:t>
      </w:r>
      <w:r>
        <w:rPr>
          <w:rFonts w:ascii="宋体" w:hAnsi="宋体"/>
          <w:sz w:val="22"/>
          <w:szCs w:val="22"/>
        </w:rPr>
        <w:t xml:space="preserve">                                       </w:t>
      </w:r>
    </w:p>
    <w:p>
      <w:pPr>
        <w:snapToGrid w:val="0"/>
        <w:spacing w:line="300" w:lineRule="exact"/>
        <w:ind w:firstLine="495" w:firstLineChars="225"/>
        <w:rPr>
          <w:rFonts w:ascii="宋体"/>
          <w:sz w:val="22"/>
          <w:szCs w:val="22"/>
        </w:rPr>
      </w:pPr>
      <w:r>
        <w:rPr>
          <w:rFonts w:ascii="宋体" w:hAnsi="宋体"/>
          <w:sz w:val="22"/>
          <w:szCs w:val="22"/>
        </w:rPr>
        <w:t>2</w:t>
      </w:r>
      <w:r>
        <w:rPr>
          <w:rFonts w:hint="eastAsia" w:ascii="宋体" w:hAnsi="宋体"/>
          <w:sz w:val="22"/>
          <w:szCs w:val="22"/>
        </w:rPr>
        <w:t>、乙方提供的货物如侵犯了第三方合法权益而引发的任何纠纷或诉讼，均由乙方负责交涉并承担全部责任。</w:t>
      </w:r>
    </w:p>
    <w:p>
      <w:pPr>
        <w:snapToGrid w:val="0"/>
        <w:spacing w:line="3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、因包装、运输引起的货物损坏，按质量不合格处理。</w:t>
      </w:r>
    </w:p>
    <w:p>
      <w:pPr>
        <w:snapToGrid w:val="0"/>
        <w:spacing w:line="300" w:lineRule="exact"/>
        <w:ind w:firstLine="440" w:firstLineChars="200"/>
        <w:rPr>
          <w:rFonts w:ascii="宋体"/>
          <w:sz w:val="22"/>
          <w:szCs w:val="22"/>
        </w:rPr>
      </w:pPr>
      <w:r>
        <w:rPr>
          <w:rFonts w:ascii="宋体" w:hAnsi="宋体"/>
          <w:sz w:val="22"/>
          <w:szCs w:val="22"/>
        </w:rPr>
        <w:t>4</w:t>
      </w:r>
      <w:r>
        <w:rPr>
          <w:rFonts w:hint="eastAsia" w:ascii="宋体" w:hAnsi="宋体"/>
          <w:sz w:val="22"/>
          <w:szCs w:val="22"/>
        </w:rPr>
        <w:t>、甲方无故延期接收货物、乙方逾期交货的，每天向对方偿付违约货款额</w:t>
      </w:r>
      <w:r>
        <w:rPr>
          <w:rFonts w:ascii="宋体" w:hAnsi="宋体"/>
          <w:sz w:val="22"/>
          <w:szCs w:val="22"/>
        </w:rPr>
        <w:t>3</w:t>
      </w:r>
      <w:r>
        <w:rPr>
          <w:rFonts w:hint="eastAsia" w:ascii="宋体" w:hAnsi="宋体"/>
          <w:sz w:val="22"/>
          <w:szCs w:val="22"/>
        </w:rPr>
        <w:t>‰违约金，超过</w:t>
      </w:r>
      <w:r>
        <w:rPr>
          <w:rFonts w:ascii="宋体" w:hAnsi="宋体"/>
          <w:sz w:val="22"/>
          <w:szCs w:val="22"/>
          <w:u w:val="single"/>
        </w:rPr>
        <w:t xml:space="preserve">     </w:t>
      </w:r>
      <w:r>
        <w:rPr>
          <w:rFonts w:hint="eastAsia" w:ascii="宋体" w:hAnsi="宋体"/>
          <w:sz w:val="22"/>
          <w:szCs w:val="22"/>
        </w:rPr>
        <w:t>天对方有权解除合同，违约方承担因此给对方造成的经济损失；甲方延期付货款的，每天向乙方偿付延期货款额</w:t>
      </w:r>
      <w:r>
        <w:rPr>
          <w:rFonts w:ascii="宋体" w:hAnsi="宋体"/>
          <w:sz w:val="22"/>
          <w:szCs w:val="22"/>
          <w:u w:val="single"/>
        </w:rPr>
        <w:t xml:space="preserve"> 3</w:t>
      </w:r>
      <w:r>
        <w:rPr>
          <w:rFonts w:hint="eastAsia" w:ascii="宋体" w:hAnsi="宋体"/>
          <w:sz w:val="22"/>
          <w:szCs w:val="22"/>
          <w:u w:val="single"/>
        </w:rPr>
        <w:t>‰</w:t>
      </w:r>
      <w:r>
        <w:rPr>
          <w:rFonts w:ascii="宋体" w:hAnsi="宋体"/>
          <w:sz w:val="22"/>
          <w:szCs w:val="22"/>
          <w:u w:val="single"/>
        </w:rPr>
        <w:t xml:space="preserve"> </w:t>
      </w:r>
      <w:r>
        <w:rPr>
          <w:rFonts w:ascii="宋体" w:hAnsi="宋体"/>
          <w:sz w:val="22"/>
          <w:szCs w:val="22"/>
        </w:rPr>
        <w:t xml:space="preserve"> </w:t>
      </w:r>
      <w:r>
        <w:rPr>
          <w:rFonts w:hint="eastAsia" w:ascii="宋体" w:hAnsi="宋体"/>
          <w:color w:val="FF00FF"/>
          <w:sz w:val="22"/>
          <w:szCs w:val="22"/>
        </w:rPr>
        <w:t>违约金</w:t>
      </w:r>
      <w:r>
        <w:rPr>
          <w:rFonts w:hint="eastAsia" w:ascii="宋体" w:hAnsi="宋体"/>
          <w:sz w:val="22"/>
          <w:szCs w:val="22"/>
        </w:rPr>
        <w:t>。</w:t>
      </w:r>
    </w:p>
    <w:p>
      <w:pPr>
        <w:snapToGrid w:val="0"/>
        <w:spacing w:line="300" w:lineRule="exact"/>
        <w:ind w:firstLine="440" w:firstLineChars="200"/>
        <w:rPr>
          <w:rFonts w:ascii="宋体"/>
          <w:sz w:val="22"/>
          <w:szCs w:val="22"/>
        </w:rPr>
      </w:pPr>
      <w:r>
        <w:rPr>
          <w:rFonts w:ascii="宋体" w:hAnsi="宋体"/>
          <w:sz w:val="22"/>
          <w:szCs w:val="22"/>
        </w:rPr>
        <w:t>5</w:t>
      </w:r>
      <w:r>
        <w:rPr>
          <w:rFonts w:hint="eastAsia" w:ascii="宋体" w:hAnsi="宋体"/>
          <w:sz w:val="22"/>
          <w:szCs w:val="22"/>
        </w:rPr>
        <w:t>、乙方未按本合同和投标文件中规定的服务承诺提供售后服务的，乙方应按本合同合计金额</w:t>
      </w:r>
      <w:r>
        <w:rPr>
          <w:rFonts w:ascii="宋体" w:hAnsi="宋体"/>
          <w:sz w:val="22"/>
          <w:szCs w:val="22"/>
          <w:u w:val="single"/>
        </w:rPr>
        <w:t xml:space="preserve"> 5% </w:t>
      </w:r>
      <w:r>
        <w:rPr>
          <w:rFonts w:hint="eastAsia" w:ascii="宋体" w:hAnsi="宋体"/>
          <w:sz w:val="22"/>
          <w:szCs w:val="22"/>
        </w:rPr>
        <w:t>向甲方支付违约金。</w:t>
      </w:r>
    </w:p>
    <w:p>
      <w:pPr>
        <w:snapToGrid w:val="0"/>
        <w:spacing w:line="300" w:lineRule="exact"/>
        <w:ind w:firstLine="440" w:firstLineChars="200"/>
        <w:rPr>
          <w:rFonts w:ascii="宋体"/>
          <w:sz w:val="22"/>
          <w:szCs w:val="22"/>
        </w:rPr>
      </w:pPr>
      <w:r>
        <w:rPr>
          <w:rFonts w:ascii="宋体" w:hAnsi="宋体"/>
          <w:sz w:val="22"/>
          <w:szCs w:val="22"/>
        </w:rPr>
        <w:t>6</w:t>
      </w:r>
      <w:r>
        <w:rPr>
          <w:rFonts w:hint="eastAsia" w:ascii="宋体" w:hAnsi="宋体"/>
          <w:sz w:val="22"/>
          <w:szCs w:val="22"/>
        </w:rPr>
        <w:t>、乙方提供的货物在质量保证期内，因设计、工艺或材料的缺陷和其它质量原因造成的问题，由乙方负责，费用从质量保证金中扣除，不足另补。</w:t>
      </w:r>
    </w:p>
    <w:p>
      <w:pPr>
        <w:snapToGrid w:val="0"/>
        <w:spacing w:line="300" w:lineRule="exact"/>
        <w:ind w:firstLine="440" w:firstLineChars="200"/>
        <w:rPr>
          <w:rFonts w:ascii="宋体"/>
          <w:sz w:val="22"/>
          <w:szCs w:val="22"/>
        </w:rPr>
      </w:pPr>
      <w:r>
        <w:rPr>
          <w:rFonts w:ascii="宋体" w:hAnsi="宋体"/>
          <w:sz w:val="22"/>
          <w:szCs w:val="22"/>
        </w:rPr>
        <w:t>7</w:t>
      </w:r>
      <w:r>
        <w:rPr>
          <w:rFonts w:hint="eastAsia" w:ascii="宋体" w:hAnsi="宋体"/>
          <w:sz w:val="22"/>
          <w:szCs w:val="22"/>
        </w:rPr>
        <w:t>、其它违约行为按违约货款额</w:t>
      </w:r>
      <w:r>
        <w:rPr>
          <w:rFonts w:ascii="宋体" w:hAnsi="宋体"/>
          <w:sz w:val="22"/>
          <w:szCs w:val="22"/>
        </w:rPr>
        <w:t>5%</w:t>
      </w:r>
      <w:r>
        <w:rPr>
          <w:rFonts w:hint="eastAsia" w:ascii="宋体" w:hAnsi="宋体"/>
          <w:sz w:val="22"/>
          <w:szCs w:val="22"/>
        </w:rPr>
        <w:t>收取违约金并赔偿经济损失。</w:t>
      </w:r>
    </w:p>
    <w:p>
      <w:pPr>
        <w:pStyle w:val="4"/>
        <w:snapToGrid w:val="0"/>
        <w:spacing w:before="120" w:after="120" w:line="300" w:lineRule="exact"/>
        <w:ind w:firstLine="433" w:firstLineChars="196"/>
        <w:rPr>
          <w:rFonts w:hAnsi="宋体"/>
          <w:b/>
          <w:sz w:val="22"/>
          <w:szCs w:val="22"/>
        </w:rPr>
      </w:pPr>
      <w:r>
        <w:rPr>
          <w:rFonts w:hint="eastAsia" w:hAnsi="宋体"/>
          <w:b/>
          <w:sz w:val="22"/>
          <w:szCs w:val="22"/>
        </w:rPr>
        <w:t>第十五条、不可抗力事件处理</w:t>
      </w:r>
    </w:p>
    <w:p>
      <w:pPr>
        <w:pStyle w:val="4"/>
        <w:snapToGrid w:val="0"/>
        <w:spacing w:before="120" w:after="120" w:line="300" w:lineRule="exact"/>
        <w:ind w:firstLine="440" w:firstLineChars="200"/>
        <w:rPr>
          <w:rFonts w:hAnsi="宋体"/>
          <w:sz w:val="22"/>
          <w:szCs w:val="22"/>
        </w:rPr>
      </w:pPr>
      <w:r>
        <w:rPr>
          <w:rFonts w:hAnsi="宋体"/>
          <w:sz w:val="22"/>
          <w:szCs w:val="22"/>
        </w:rPr>
        <w:t>1</w:t>
      </w:r>
      <w:r>
        <w:rPr>
          <w:rFonts w:hint="eastAsia" w:hAnsi="宋体"/>
          <w:sz w:val="22"/>
          <w:szCs w:val="22"/>
        </w:rPr>
        <w:t>、在合同有效期内，任何一方因不可抗力事件导致不能履行合同，则合同履行期可延长，其延长期与不可抗力影响期相同。</w:t>
      </w:r>
    </w:p>
    <w:p>
      <w:pPr>
        <w:pStyle w:val="4"/>
        <w:snapToGrid w:val="0"/>
        <w:spacing w:before="120" w:after="120" w:line="300" w:lineRule="exact"/>
        <w:ind w:firstLine="440" w:firstLineChars="200"/>
        <w:rPr>
          <w:rFonts w:hAnsi="宋体"/>
          <w:sz w:val="22"/>
          <w:szCs w:val="22"/>
        </w:rPr>
      </w:pPr>
      <w:r>
        <w:rPr>
          <w:rFonts w:hAnsi="宋体"/>
          <w:sz w:val="22"/>
          <w:szCs w:val="22"/>
        </w:rPr>
        <w:t>2</w:t>
      </w:r>
      <w:r>
        <w:rPr>
          <w:rFonts w:hint="eastAsia" w:hAnsi="宋体"/>
          <w:sz w:val="22"/>
          <w:szCs w:val="22"/>
        </w:rPr>
        <w:t>、不可抗力事件发生后，应立即通知对方，并寄送有关权威机构出具的证明。</w:t>
      </w:r>
    </w:p>
    <w:p>
      <w:pPr>
        <w:snapToGrid w:val="0"/>
        <w:spacing w:line="3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、不可抗力事件延续一百二十天以上，双方应通过友好协商，确定是否继续履行合同。</w:t>
      </w:r>
    </w:p>
    <w:p>
      <w:pPr>
        <w:snapToGrid w:val="0"/>
        <w:spacing w:line="300" w:lineRule="exact"/>
        <w:ind w:firstLine="442" w:firstLineChars="200"/>
        <w:rPr>
          <w:rFonts w:ascii="宋体"/>
          <w:sz w:val="22"/>
          <w:szCs w:val="22"/>
        </w:rPr>
      </w:pPr>
      <w:r>
        <w:rPr>
          <w:rFonts w:hint="eastAsia" w:ascii="宋体" w:hAnsi="宋体"/>
          <w:b/>
          <w:sz w:val="22"/>
          <w:szCs w:val="22"/>
        </w:rPr>
        <w:t>第十六条</w:t>
      </w:r>
      <w:r>
        <w:rPr>
          <w:rFonts w:ascii="宋体" w:hAnsi="宋体"/>
          <w:b/>
          <w:sz w:val="22"/>
          <w:szCs w:val="22"/>
        </w:rPr>
        <w:t xml:space="preserve">  </w:t>
      </w:r>
      <w:r>
        <w:rPr>
          <w:rFonts w:hint="eastAsia" w:ascii="宋体" w:hAnsi="宋体"/>
          <w:b/>
          <w:sz w:val="22"/>
          <w:szCs w:val="22"/>
        </w:rPr>
        <w:t>合同争议解决</w:t>
      </w:r>
    </w:p>
    <w:p>
      <w:pPr>
        <w:snapToGrid w:val="0"/>
        <w:spacing w:line="3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、因货物质量问题发生争议的，应邀请国家认可的质量检测机构对货物质量进行鉴定。货物符合标准的，鉴定费由甲方承担；货物不符合标准的，鉴定费由乙方承担。</w:t>
      </w:r>
    </w:p>
    <w:p>
      <w:pPr>
        <w:snapToGrid w:val="0"/>
        <w:spacing w:line="300" w:lineRule="exact"/>
        <w:ind w:firstLine="440" w:firstLineChars="200"/>
        <w:rPr>
          <w:rFonts w:ascii="宋体"/>
          <w:sz w:val="22"/>
          <w:szCs w:val="22"/>
        </w:rPr>
      </w:pPr>
      <w:r>
        <w:rPr>
          <w:rFonts w:ascii="宋体" w:hAnsi="宋体"/>
          <w:sz w:val="22"/>
          <w:szCs w:val="22"/>
        </w:rPr>
        <w:t>2</w:t>
      </w:r>
      <w:r>
        <w:rPr>
          <w:rFonts w:hint="eastAsia" w:ascii="宋体" w:hAnsi="宋体"/>
          <w:sz w:val="22"/>
          <w:szCs w:val="22"/>
        </w:rPr>
        <w:t>、因履行本合同引起的或与本合同有关的争议，甲乙双方应首先通过友好协商解决，如果协商不能解决，可向</w:t>
      </w:r>
      <w:r>
        <w:rPr>
          <w:rFonts w:hint="eastAsia" w:ascii="宋体" w:hAnsi="宋体"/>
          <w:color w:val="FF00FF"/>
          <w:sz w:val="22"/>
          <w:szCs w:val="22"/>
        </w:rPr>
        <w:t>甲方所在地</w:t>
      </w:r>
      <w:r>
        <w:rPr>
          <w:rFonts w:hint="eastAsia" w:ascii="宋体" w:hAnsi="宋体"/>
          <w:sz w:val="22"/>
          <w:szCs w:val="22"/>
        </w:rPr>
        <w:t>人民法院提起诉讼。</w:t>
      </w:r>
    </w:p>
    <w:p>
      <w:pPr>
        <w:snapToGrid w:val="0"/>
        <w:spacing w:line="3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、诉讼期间，本合同继续履行。</w:t>
      </w:r>
    </w:p>
    <w:p>
      <w:pPr>
        <w:pStyle w:val="4"/>
        <w:snapToGrid w:val="0"/>
        <w:spacing w:before="120" w:after="120" w:line="300" w:lineRule="exact"/>
        <w:ind w:firstLine="433" w:firstLineChars="196"/>
        <w:rPr>
          <w:rFonts w:hAnsi="宋体"/>
          <w:b/>
          <w:sz w:val="22"/>
          <w:szCs w:val="22"/>
        </w:rPr>
      </w:pPr>
      <w:r>
        <w:rPr>
          <w:rFonts w:hint="eastAsia" w:hAnsi="宋体"/>
          <w:b/>
          <w:sz w:val="22"/>
          <w:szCs w:val="22"/>
        </w:rPr>
        <w:t>第十七条、诉讼</w:t>
      </w:r>
    </w:p>
    <w:p>
      <w:pPr>
        <w:pStyle w:val="4"/>
        <w:snapToGrid w:val="0"/>
        <w:spacing w:before="120" w:after="120" w:line="300" w:lineRule="exact"/>
        <w:ind w:firstLine="376" w:firstLineChars="171"/>
        <w:rPr>
          <w:rFonts w:hAnsi="宋体"/>
          <w:sz w:val="22"/>
          <w:szCs w:val="22"/>
        </w:rPr>
      </w:pPr>
      <w:r>
        <w:rPr>
          <w:rFonts w:hAnsi="宋体"/>
          <w:sz w:val="22"/>
          <w:szCs w:val="22"/>
        </w:rPr>
        <w:t xml:space="preserve"> </w:t>
      </w:r>
      <w:r>
        <w:rPr>
          <w:rFonts w:hint="eastAsia" w:hAnsi="宋体"/>
          <w:sz w:val="22"/>
          <w:szCs w:val="22"/>
        </w:rPr>
        <w:t>双方在执行合同中所发生的一切争议，应通过协商解决。如协商不能解决，可向仲裁委员会申请仲裁或向人民法院提起诉讼。</w:t>
      </w:r>
    </w:p>
    <w:p>
      <w:pPr>
        <w:pStyle w:val="4"/>
        <w:snapToGrid w:val="0"/>
        <w:spacing w:before="120" w:after="120" w:line="300" w:lineRule="exact"/>
        <w:ind w:firstLine="433" w:firstLineChars="196"/>
        <w:rPr>
          <w:rFonts w:hAnsi="宋体"/>
          <w:b/>
          <w:sz w:val="22"/>
          <w:szCs w:val="22"/>
        </w:rPr>
      </w:pPr>
      <w:r>
        <w:rPr>
          <w:rFonts w:hint="eastAsia" w:hAnsi="宋体"/>
          <w:b/>
          <w:sz w:val="22"/>
          <w:szCs w:val="22"/>
        </w:rPr>
        <w:t>第十八条、合同生效及其它</w:t>
      </w:r>
    </w:p>
    <w:p>
      <w:pPr>
        <w:pStyle w:val="4"/>
        <w:snapToGrid w:val="0"/>
        <w:spacing w:before="120" w:after="120" w:line="300" w:lineRule="exact"/>
        <w:ind w:firstLine="442" w:firstLineChars="200"/>
        <w:rPr>
          <w:rFonts w:hAnsi="宋体"/>
          <w:b/>
          <w:sz w:val="22"/>
          <w:szCs w:val="22"/>
        </w:rPr>
      </w:pPr>
      <w:r>
        <w:rPr>
          <w:rFonts w:hAnsi="宋体"/>
          <w:b/>
          <w:sz w:val="22"/>
          <w:szCs w:val="22"/>
        </w:rPr>
        <w:t>1</w:t>
      </w:r>
      <w:r>
        <w:rPr>
          <w:rFonts w:hint="eastAsia" w:hAnsi="宋体"/>
          <w:b/>
          <w:sz w:val="22"/>
          <w:szCs w:val="22"/>
        </w:rPr>
        <w:t>、合同经双方法定代表人或授权代表签字并加盖单位公章后生效。</w:t>
      </w:r>
    </w:p>
    <w:p>
      <w:pPr>
        <w:pStyle w:val="4"/>
        <w:snapToGrid w:val="0"/>
        <w:spacing w:before="120" w:after="120" w:line="300" w:lineRule="exact"/>
        <w:ind w:firstLine="442" w:firstLineChars="200"/>
        <w:rPr>
          <w:rFonts w:hAnsi="宋体"/>
          <w:b/>
          <w:sz w:val="22"/>
          <w:szCs w:val="22"/>
        </w:rPr>
      </w:pPr>
      <w:r>
        <w:rPr>
          <w:rFonts w:hAnsi="宋体"/>
          <w:b/>
          <w:sz w:val="22"/>
          <w:szCs w:val="22"/>
        </w:rPr>
        <w:t>2</w:t>
      </w:r>
      <w:r>
        <w:rPr>
          <w:rFonts w:hint="eastAsia" w:hAnsi="宋体"/>
          <w:b/>
          <w:sz w:val="22"/>
          <w:szCs w:val="22"/>
        </w:rPr>
        <w:t>、合同执行中涉及采购资金和采购内容修改或补充的，须经财政部门审批，并签书面补充协议报财政部门备案，方可作为主合同不可分割的一部分。</w:t>
      </w:r>
    </w:p>
    <w:p>
      <w:pPr>
        <w:snapToGrid w:val="0"/>
        <w:spacing w:line="300" w:lineRule="exact"/>
        <w:ind w:firstLine="442" w:firstLineChars="200"/>
        <w:rPr>
          <w:rFonts w:ascii="宋体"/>
          <w:b/>
          <w:sz w:val="22"/>
          <w:szCs w:val="22"/>
        </w:rPr>
      </w:pPr>
      <w:r>
        <w:rPr>
          <w:rFonts w:ascii="宋体" w:hAnsi="宋体"/>
          <w:b/>
          <w:sz w:val="22"/>
          <w:szCs w:val="22"/>
        </w:rPr>
        <w:t>3</w:t>
      </w:r>
      <w:r>
        <w:rPr>
          <w:rFonts w:hint="eastAsia" w:ascii="宋体" w:hAnsi="宋体"/>
          <w:b/>
          <w:sz w:val="22"/>
          <w:szCs w:val="22"/>
        </w:rPr>
        <w:t>、本合同未尽事宜，遵照《合同法》有关条文执行。</w:t>
      </w:r>
    </w:p>
    <w:p>
      <w:pPr>
        <w:pStyle w:val="4"/>
        <w:snapToGrid w:val="0"/>
        <w:spacing w:before="120" w:after="120" w:line="300" w:lineRule="exact"/>
        <w:ind w:firstLine="433" w:firstLineChars="196"/>
        <w:rPr>
          <w:rFonts w:hAnsi="宋体"/>
          <w:b/>
          <w:sz w:val="22"/>
          <w:szCs w:val="22"/>
        </w:rPr>
      </w:pPr>
      <w:r>
        <w:rPr>
          <w:rFonts w:hint="eastAsia" w:hAnsi="宋体"/>
          <w:b/>
          <w:sz w:val="22"/>
          <w:szCs w:val="22"/>
        </w:rPr>
        <w:t>第十九条、合同的变更、终止与转让</w:t>
      </w:r>
    </w:p>
    <w:p>
      <w:pPr>
        <w:pStyle w:val="4"/>
        <w:snapToGrid w:val="0"/>
        <w:spacing w:before="120" w:after="120" w:line="300" w:lineRule="exact"/>
        <w:ind w:firstLine="440" w:firstLineChars="200"/>
        <w:rPr>
          <w:rFonts w:hAnsi="宋体"/>
          <w:sz w:val="22"/>
          <w:szCs w:val="22"/>
        </w:rPr>
      </w:pPr>
      <w:r>
        <w:rPr>
          <w:rFonts w:hAnsi="宋体"/>
          <w:sz w:val="22"/>
          <w:szCs w:val="22"/>
        </w:rPr>
        <w:t>1</w:t>
      </w:r>
      <w:r>
        <w:rPr>
          <w:rFonts w:hint="eastAsia" w:hAnsi="宋体"/>
          <w:sz w:val="22"/>
          <w:szCs w:val="22"/>
        </w:rPr>
        <w:t>、除《中华人民共和国政府采购法》第五十条规定的情形外，本合同一经签订，甲乙双方不得擅自变更、中止或终止。</w:t>
      </w:r>
    </w:p>
    <w:p>
      <w:pPr>
        <w:pStyle w:val="4"/>
        <w:snapToGrid w:val="0"/>
        <w:spacing w:before="120" w:after="120" w:line="300" w:lineRule="exact"/>
        <w:ind w:firstLine="440" w:firstLineChars="200"/>
        <w:rPr>
          <w:rFonts w:hAnsi="宋体"/>
          <w:sz w:val="22"/>
          <w:szCs w:val="22"/>
        </w:rPr>
      </w:pPr>
      <w:r>
        <w:rPr>
          <w:rFonts w:hAnsi="宋体"/>
          <w:sz w:val="22"/>
          <w:szCs w:val="22"/>
        </w:rPr>
        <w:t>2</w:t>
      </w:r>
      <w:r>
        <w:rPr>
          <w:rFonts w:hint="eastAsia" w:hAnsi="宋体"/>
          <w:sz w:val="22"/>
          <w:szCs w:val="22"/>
        </w:rPr>
        <w:t>、乙方不得擅自转让（无进口资格的供应商委托进口货物除外）其应履行的合同义务。</w:t>
      </w:r>
    </w:p>
    <w:p>
      <w:pPr>
        <w:snapToGrid w:val="0"/>
        <w:spacing w:line="3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、合同经双方法定代表人或授权代表签字并加盖单位公章后生效。</w:t>
      </w:r>
    </w:p>
    <w:p>
      <w:pPr>
        <w:pStyle w:val="4"/>
        <w:snapToGrid w:val="0"/>
        <w:spacing w:before="120" w:after="120" w:line="300" w:lineRule="exact"/>
        <w:ind w:firstLine="440" w:firstLineChars="200"/>
        <w:rPr>
          <w:rFonts w:hAnsi="宋体"/>
          <w:sz w:val="22"/>
          <w:szCs w:val="22"/>
        </w:rPr>
      </w:pPr>
      <w:r>
        <w:rPr>
          <w:rFonts w:hAnsi="宋体"/>
          <w:sz w:val="22"/>
          <w:szCs w:val="22"/>
        </w:rPr>
        <w:t>4</w:t>
      </w:r>
      <w:r>
        <w:rPr>
          <w:rFonts w:hint="eastAsia" w:hAnsi="宋体"/>
          <w:sz w:val="22"/>
          <w:szCs w:val="22"/>
        </w:rPr>
        <w:t>、合同执行中涉及采购资金和采购内容修改或补充的，须经财政部门审批，并签书面补充协议报财政部门备案，方可作为主合同不可分割的一部分。</w:t>
      </w:r>
    </w:p>
    <w:p>
      <w:pPr>
        <w:snapToGrid w:val="0"/>
        <w:spacing w:line="300" w:lineRule="exact"/>
        <w:ind w:firstLine="440" w:firstLineChars="200"/>
        <w:rPr>
          <w:rFonts w:ascii="宋体"/>
          <w:sz w:val="22"/>
          <w:szCs w:val="22"/>
        </w:rPr>
      </w:pPr>
      <w:r>
        <w:rPr>
          <w:rFonts w:ascii="宋体" w:hAnsi="宋体"/>
          <w:sz w:val="22"/>
          <w:szCs w:val="22"/>
        </w:rPr>
        <w:t>5</w:t>
      </w:r>
      <w:r>
        <w:rPr>
          <w:rFonts w:hint="eastAsia" w:ascii="宋体" w:hAnsi="宋体"/>
          <w:sz w:val="22"/>
          <w:szCs w:val="22"/>
        </w:rPr>
        <w:t>、本合同未尽事宜，遵照《合同法》有关条文执行。</w:t>
      </w:r>
    </w:p>
    <w:p>
      <w:pPr>
        <w:pStyle w:val="4"/>
        <w:snapToGrid w:val="0"/>
        <w:spacing w:before="120" w:after="120" w:line="300" w:lineRule="exact"/>
        <w:ind w:firstLine="433" w:firstLineChars="196"/>
        <w:rPr>
          <w:rFonts w:hAnsi="宋体"/>
          <w:b/>
          <w:sz w:val="22"/>
          <w:szCs w:val="22"/>
        </w:rPr>
      </w:pPr>
      <w:r>
        <w:rPr>
          <w:rFonts w:hint="eastAsia" w:hAnsi="宋体"/>
          <w:b/>
          <w:sz w:val="22"/>
          <w:szCs w:val="22"/>
        </w:rPr>
        <w:t>第二十条、签订本合同依据</w:t>
      </w:r>
    </w:p>
    <w:p>
      <w:pPr>
        <w:pStyle w:val="4"/>
        <w:snapToGrid w:val="0"/>
        <w:spacing w:before="120" w:after="120" w:line="300" w:lineRule="exact"/>
        <w:ind w:firstLine="440" w:firstLineChars="200"/>
        <w:rPr>
          <w:rFonts w:hAnsi="宋体"/>
          <w:sz w:val="22"/>
          <w:szCs w:val="22"/>
        </w:rPr>
      </w:pPr>
      <w:r>
        <w:rPr>
          <w:rFonts w:hAnsi="宋体"/>
          <w:sz w:val="22"/>
          <w:szCs w:val="22"/>
        </w:rPr>
        <w:t>1</w:t>
      </w:r>
      <w:r>
        <w:rPr>
          <w:rFonts w:hint="eastAsia" w:hAnsi="宋体"/>
          <w:sz w:val="22"/>
          <w:szCs w:val="22"/>
        </w:rPr>
        <w:t>、政府采购招标文件；</w:t>
      </w:r>
    </w:p>
    <w:p>
      <w:pPr>
        <w:pStyle w:val="4"/>
        <w:snapToGrid w:val="0"/>
        <w:spacing w:before="120" w:after="120" w:line="300" w:lineRule="exact"/>
        <w:ind w:firstLine="440" w:firstLineChars="200"/>
        <w:rPr>
          <w:rFonts w:hAnsi="宋体"/>
          <w:sz w:val="22"/>
          <w:szCs w:val="22"/>
        </w:rPr>
      </w:pPr>
      <w:r>
        <w:rPr>
          <w:rFonts w:hAnsi="宋体"/>
          <w:sz w:val="22"/>
          <w:szCs w:val="22"/>
        </w:rPr>
        <w:t>2</w:t>
      </w:r>
      <w:r>
        <w:rPr>
          <w:rFonts w:hint="eastAsia" w:hAnsi="宋体"/>
          <w:sz w:val="22"/>
          <w:szCs w:val="22"/>
        </w:rPr>
        <w:t>、乙方提供的采购投标（或应答）文件；</w:t>
      </w:r>
    </w:p>
    <w:p>
      <w:pPr>
        <w:snapToGrid w:val="0"/>
        <w:spacing w:line="3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、投标承诺书；</w:t>
      </w:r>
    </w:p>
    <w:p>
      <w:pPr>
        <w:snapToGrid w:val="0"/>
        <w:spacing w:line="300" w:lineRule="exact"/>
        <w:ind w:firstLine="440" w:firstLineChars="200"/>
        <w:rPr>
          <w:rFonts w:ascii="宋体"/>
          <w:sz w:val="22"/>
          <w:szCs w:val="22"/>
        </w:rPr>
      </w:pPr>
      <w:r>
        <w:rPr>
          <w:rFonts w:ascii="宋体" w:hAnsi="宋体"/>
          <w:sz w:val="22"/>
          <w:szCs w:val="22"/>
        </w:rPr>
        <w:t>4</w:t>
      </w:r>
      <w:r>
        <w:rPr>
          <w:rFonts w:hint="eastAsia" w:ascii="宋体" w:hAnsi="宋体"/>
          <w:sz w:val="22"/>
          <w:szCs w:val="22"/>
        </w:rPr>
        <w:t>、中标或成交通知书。</w:t>
      </w:r>
    </w:p>
    <w:p>
      <w:pPr>
        <w:snapToGrid w:val="0"/>
        <w:spacing w:line="300" w:lineRule="exact"/>
        <w:ind w:firstLine="442" w:firstLineChars="200"/>
        <w:rPr>
          <w:rFonts w:ascii="宋体"/>
          <w:sz w:val="22"/>
          <w:szCs w:val="22"/>
        </w:rPr>
      </w:pPr>
      <w:r>
        <w:rPr>
          <w:rFonts w:hint="eastAsia" w:ascii="宋体" w:hAnsi="宋体"/>
          <w:b/>
          <w:sz w:val="22"/>
          <w:szCs w:val="22"/>
        </w:rPr>
        <w:t>第二十一条</w:t>
      </w:r>
      <w:r>
        <w:rPr>
          <w:rFonts w:ascii="宋体" w:hAnsi="宋体"/>
          <w:b/>
          <w:sz w:val="22"/>
          <w:szCs w:val="22"/>
        </w:rPr>
        <w:t xml:space="preserve">  </w:t>
      </w:r>
      <w:r>
        <w:rPr>
          <w:rFonts w:hint="eastAsia" w:ascii="宋体" w:hAnsi="宋体"/>
          <w:sz w:val="22"/>
          <w:szCs w:val="22"/>
        </w:rPr>
        <w:t>本合同一式四份，具有同等法律效力，财政部门（政府采购监管部门）、采购代理机构各一份，甲乙双方各一份（可根据需要另增加）。</w:t>
      </w:r>
    </w:p>
    <w:p>
      <w:pPr>
        <w:snapToGrid w:val="0"/>
        <w:spacing w:after="240" w:line="300" w:lineRule="exact"/>
        <w:ind w:firstLine="440" w:firstLineChars="200"/>
        <w:rPr>
          <w:rFonts w:ascii="宋体"/>
          <w:sz w:val="22"/>
          <w:szCs w:val="22"/>
        </w:rPr>
      </w:pPr>
      <w:r>
        <w:rPr>
          <w:rFonts w:hint="eastAsia" w:ascii="宋体" w:hAnsi="宋体"/>
          <w:sz w:val="22"/>
          <w:szCs w:val="22"/>
        </w:rPr>
        <w:t>本合同甲乙双方签字盖章后生效，自签订之日起七个工作日内，采购人或采购代理机构应当将合同副本报同级财政部门备案。</w:t>
      </w:r>
    </w:p>
    <w:tbl>
      <w:tblPr>
        <w:tblStyle w:val="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516" w:type="dxa"/>
            <w:vAlign w:val="center"/>
          </w:tcPr>
          <w:p>
            <w:pPr>
              <w:snapToGrid w:val="0"/>
              <w:rPr>
                <w:rFonts w:ascii="宋体"/>
                <w:sz w:val="22"/>
                <w:szCs w:val="22"/>
              </w:rPr>
            </w:pPr>
            <w:r>
              <w:rPr>
                <w:rFonts w:hint="eastAsia" w:ascii="宋体" w:hAnsi="宋体"/>
                <w:sz w:val="22"/>
                <w:szCs w:val="22"/>
              </w:rPr>
              <w:t>甲方（章）</w:t>
            </w:r>
            <w:r>
              <w:rPr>
                <w:rFonts w:ascii="宋体" w:hAnsi="宋体"/>
                <w:sz w:val="22"/>
                <w:szCs w:val="22"/>
              </w:rPr>
              <w:t xml:space="preserve">           </w:t>
            </w:r>
          </w:p>
          <w:p>
            <w:pPr>
              <w:snapToGrid w:val="0"/>
              <w:rPr>
                <w:rFonts w:ascii="宋体"/>
                <w:sz w:val="22"/>
                <w:szCs w:val="22"/>
              </w:rPr>
            </w:pPr>
          </w:p>
          <w:p>
            <w:pPr>
              <w:snapToGrid w:val="0"/>
              <w:ind w:firstLine="990" w:firstLineChars="450"/>
              <w:jc w:val="right"/>
              <w:rPr>
                <w:rFonts w:ascii="宋体"/>
                <w:sz w:val="22"/>
                <w:szCs w:val="22"/>
              </w:rPr>
            </w:pP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tc>
        <w:tc>
          <w:tcPr>
            <w:tcW w:w="4517" w:type="dxa"/>
            <w:vAlign w:val="center"/>
          </w:tcPr>
          <w:p>
            <w:pPr>
              <w:snapToGrid w:val="0"/>
              <w:rPr>
                <w:rFonts w:ascii="宋体"/>
                <w:sz w:val="22"/>
                <w:szCs w:val="22"/>
              </w:rPr>
            </w:pPr>
            <w:r>
              <w:rPr>
                <w:rFonts w:hint="eastAsia" w:ascii="宋体" w:hAnsi="宋体"/>
                <w:sz w:val="22"/>
                <w:szCs w:val="22"/>
              </w:rPr>
              <w:t>乙方（章）</w:t>
            </w:r>
            <w:r>
              <w:rPr>
                <w:rFonts w:ascii="宋体" w:hAnsi="宋体"/>
                <w:sz w:val="22"/>
                <w:szCs w:val="22"/>
              </w:rPr>
              <w:t xml:space="preserve">              </w:t>
            </w:r>
          </w:p>
          <w:p>
            <w:pPr>
              <w:snapToGrid w:val="0"/>
              <w:rPr>
                <w:rFonts w:ascii="宋体"/>
                <w:sz w:val="22"/>
                <w:szCs w:val="22"/>
              </w:rPr>
            </w:pPr>
          </w:p>
          <w:p>
            <w:pPr>
              <w:snapToGrid w:val="0"/>
              <w:jc w:val="right"/>
              <w:rPr>
                <w:rFonts w:ascii="宋体"/>
                <w:sz w:val="22"/>
                <w:szCs w:val="22"/>
              </w:rPr>
            </w:pP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rPr>
                <w:rFonts w:ascii="宋体"/>
                <w:sz w:val="22"/>
                <w:szCs w:val="22"/>
              </w:rPr>
            </w:pPr>
            <w:r>
              <w:rPr>
                <w:rFonts w:hint="eastAsia" w:ascii="宋体" w:hAnsi="宋体"/>
                <w:sz w:val="22"/>
                <w:szCs w:val="22"/>
              </w:rPr>
              <w:t>单位地址：</w:t>
            </w:r>
          </w:p>
        </w:tc>
        <w:tc>
          <w:tcPr>
            <w:tcW w:w="4517" w:type="dxa"/>
            <w:vAlign w:val="center"/>
          </w:tcPr>
          <w:p>
            <w:pPr>
              <w:snapToGrid w:val="0"/>
              <w:rPr>
                <w:rFonts w:ascii="宋体"/>
                <w:sz w:val="22"/>
                <w:szCs w:val="22"/>
              </w:rPr>
            </w:pPr>
            <w:r>
              <w:rPr>
                <w:rFonts w:hint="eastAsia" w:ascii="宋体" w:hAnsi="宋体"/>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rPr>
                <w:rFonts w:ascii="宋体"/>
                <w:sz w:val="22"/>
                <w:szCs w:val="22"/>
              </w:rPr>
            </w:pPr>
            <w:r>
              <w:rPr>
                <w:rFonts w:hint="eastAsia" w:ascii="宋体" w:hAnsi="宋体"/>
                <w:sz w:val="22"/>
                <w:szCs w:val="22"/>
              </w:rPr>
              <w:t>法定代表人：</w:t>
            </w:r>
          </w:p>
        </w:tc>
        <w:tc>
          <w:tcPr>
            <w:tcW w:w="4517" w:type="dxa"/>
            <w:vAlign w:val="center"/>
          </w:tcPr>
          <w:p>
            <w:pPr>
              <w:snapToGrid w:val="0"/>
              <w:rPr>
                <w:rFonts w:ascii="宋体"/>
                <w:sz w:val="22"/>
                <w:szCs w:val="22"/>
              </w:rPr>
            </w:pPr>
            <w:r>
              <w:rPr>
                <w:rFonts w:hint="eastAsia" w:ascii="宋体" w:hAnsi="宋体"/>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rPr>
                <w:rFonts w:ascii="宋体"/>
                <w:sz w:val="22"/>
                <w:szCs w:val="22"/>
              </w:rPr>
            </w:pPr>
            <w:r>
              <w:rPr>
                <w:rFonts w:hint="eastAsia" w:ascii="宋体" w:hAnsi="宋体"/>
                <w:sz w:val="22"/>
                <w:szCs w:val="22"/>
              </w:rPr>
              <w:t>委托代理人：</w:t>
            </w:r>
          </w:p>
        </w:tc>
        <w:tc>
          <w:tcPr>
            <w:tcW w:w="4517" w:type="dxa"/>
            <w:vAlign w:val="center"/>
          </w:tcPr>
          <w:p>
            <w:pPr>
              <w:snapToGrid w:val="0"/>
              <w:rPr>
                <w:rFonts w:ascii="宋体"/>
                <w:sz w:val="22"/>
                <w:szCs w:val="22"/>
              </w:rPr>
            </w:pPr>
            <w:r>
              <w:rPr>
                <w:rFonts w:hint="eastAsia" w:ascii="宋体" w:hAnsi="宋体"/>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rPr>
                <w:rFonts w:ascii="宋体"/>
                <w:sz w:val="22"/>
                <w:szCs w:val="22"/>
              </w:rPr>
            </w:pPr>
            <w:r>
              <w:rPr>
                <w:rFonts w:hint="eastAsia" w:ascii="宋体" w:hAnsi="宋体"/>
                <w:sz w:val="22"/>
                <w:szCs w:val="22"/>
              </w:rPr>
              <w:t>电话：</w:t>
            </w:r>
          </w:p>
        </w:tc>
        <w:tc>
          <w:tcPr>
            <w:tcW w:w="4517" w:type="dxa"/>
            <w:vAlign w:val="center"/>
          </w:tcPr>
          <w:p>
            <w:pPr>
              <w:snapToGrid w:val="0"/>
              <w:rPr>
                <w:rFonts w:ascii="宋体"/>
                <w:sz w:val="22"/>
                <w:szCs w:val="22"/>
              </w:rPr>
            </w:pPr>
            <w:r>
              <w:rPr>
                <w:rFonts w:hint="eastAsia" w:ascii="宋体" w:hAnsi="宋体"/>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rPr>
                <w:rFonts w:ascii="宋体"/>
                <w:sz w:val="22"/>
                <w:szCs w:val="22"/>
              </w:rPr>
            </w:pPr>
            <w:r>
              <w:rPr>
                <w:rFonts w:hint="eastAsia" w:ascii="宋体" w:hAnsi="宋体"/>
                <w:sz w:val="22"/>
                <w:szCs w:val="22"/>
              </w:rPr>
              <w:t>电子邮箱：</w:t>
            </w:r>
          </w:p>
        </w:tc>
        <w:tc>
          <w:tcPr>
            <w:tcW w:w="4517" w:type="dxa"/>
            <w:vAlign w:val="center"/>
          </w:tcPr>
          <w:p>
            <w:pPr>
              <w:snapToGrid w:val="0"/>
              <w:rPr>
                <w:rFonts w:ascii="宋体"/>
                <w:sz w:val="22"/>
                <w:szCs w:val="22"/>
              </w:rPr>
            </w:pPr>
            <w:r>
              <w:rPr>
                <w:rFonts w:hint="eastAsia" w:ascii="宋体" w:hAnsi="宋体"/>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ascii="宋体"/>
                <w:sz w:val="22"/>
                <w:szCs w:val="22"/>
              </w:rPr>
            </w:pPr>
            <w:r>
              <w:rPr>
                <w:rFonts w:hint="eastAsia" w:ascii="宋体" w:hAnsi="宋体"/>
                <w:sz w:val="22"/>
                <w:szCs w:val="22"/>
              </w:rPr>
              <w:t>开户银行：</w:t>
            </w:r>
          </w:p>
        </w:tc>
        <w:tc>
          <w:tcPr>
            <w:tcW w:w="4517" w:type="dxa"/>
            <w:vAlign w:val="center"/>
          </w:tcPr>
          <w:p>
            <w:pPr>
              <w:snapToGrid w:val="0"/>
              <w:rPr>
                <w:rFonts w:ascii="宋体"/>
                <w:sz w:val="22"/>
                <w:szCs w:val="22"/>
              </w:rPr>
            </w:pPr>
            <w:r>
              <w:rPr>
                <w:rFonts w:hint="eastAsia" w:ascii="宋体" w:hAnsi="宋体"/>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rPr>
                <w:rFonts w:ascii="宋体"/>
                <w:sz w:val="22"/>
                <w:szCs w:val="22"/>
              </w:rPr>
            </w:pPr>
            <w:r>
              <w:rPr>
                <w:rFonts w:hint="eastAsia" w:ascii="宋体" w:hAnsi="宋体"/>
                <w:sz w:val="22"/>
                <w:szCs w:val="22"/>
              </w:rPr>
              <w:t>账号：</w:t>
            </w:r>
          </w:p>
        </w:tc>
        <w:tc>
          <w:tcPr>
            <w:tcW w:w="4517" w:type="dxa"/>
            <w:vAlign w:val="center"/>
          </w:tcPr>
          <w:p>
            <w:pPr>
              <w:snapToGrid w:val="0"/>
              <w:rPr>
                <w:rFonts w:ascii="宋体"/>
                <w:sz w:val="22"/>
                <w:szCs w:val="22"/>
              </w:rPr>
            </w:pPr>
            <w:r>
              <w:rPr>
                <w:rFonts w:hint="eastAsia" w:ascii="宋体" w:hAnsi="宋体"/>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rPr>
                <w:rFonts w:ascii="宋体"/>
                <w:sz w:val="22"/>
                <w:szCs w:val="22"/>
              </w:rPr>
            </w:pPr>
            <w:r>
              <w:rPr>
                <w:rFonts w:hint="eastAsia" w:ascii="宋体" w:hAnsi="宋体"/>
                <w:sz w:val="22"/>
                <w:szCs w:val="22"/>
              </w:rPr>
              <w:t>邮政编码：</w:t>
            </w:r>
          </w:p>
        </w:tc>
        <w:tc>
          <w:tcPr>
            <w:tcW w:w="4517" w:type="dxa"/>
            <w:vAlign w:val="center"/>
          </w:tcPr>
          <w:p>
            <w:pPr>
              <w:snapToGrid w:val="0"/>
              <w:rPr>
                <w:rFonts w:ascii="宋体"/>
                <w:sz w:val="22"/>
                <w:szCs w:val="22"/>
              </w:rPr>
            </w:pPr>
            <w:r>
              <w:rPr>
                <w:rFonts w:hint="eastAsia" w:ascii="宋体" w:hAnsi="宋体"/>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9033" w:type="dxa"/>
            <w:gridSpan w:val="2"/>
          </w:tcPr>
          <w:p>
            <w:pPr>
              <w:snapToGrid w:val="0"/>
              <w:ind w:left="2445" w:leftChars="1007" w:hanging="330" w:hangingChars="150"/>
              <w:rPr>
                <w:rFonts w:ascii="宋体"/>
                <w:sz w:val="22"/>
                <w:szCs w:val="22"/>
              </w:rPr>
            </w:pPr>
            <w:r>
              <w:rPr>
                <w:rFonts w:ascii="宋体" w:hAnsi="宋体"/>
                <w:sz w:val="22"/>
                <w:szCs w:val="22"/>
              </w:rPr>
              <w:t xml:space="preserve">                            </w:t>
            </w:r>
          </w:p>
          <w:p>
            <w:pPr>
              <w:snapToGrid w:val="0"/>
              <w:rPr>
                <w:rFonts w:ascii="宋体"/>
                <w:sz w:val="22"/>
                <w:szCs w:val="22"/>
              </w:rPr>
            </w:pPr>
            <w:r>
              <w:rPr>
                <w:rFonts w:hint="eastAsia" w:ascii="宋体" w:hAnsi="宋体"/>
                <w:sz w:val="22"/>
                <w:szCs w:val="22"/>
              </w:rPr>
              <w:t>经办人：</w:t>
            </w:r>
          </w:p>
          <w:p>
            <w:pPr>
              <w:snapToGrid w:val="0"/>
              <w:ind w:firstLine="660" w:firstLineChars="300"/>
              <w:jc w:val="right"/>
              <w:rPr>
                <w:rFonts w:ascii="宋体"/>
                <w:sz w:val="22"/>
                <w:szCs w:val="22"/>
              </w:rPr>
            </w:pP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tc>
      </w:tr>
    </w:tbl>
    <w:p>
      <w:pPr>
        <w:snapToGrid w:val="0"/>
        <w:ind w:left="440" w:hanging="440" w:hangingChars="200"/>
        <w:rPr>
          <w:rFonts w:ascii="宋体"/>
          <w:sz w:val="22"/>
          <w:szCs w:val="22"/>
        </w:rPr>
      </w:pPr>
    </w:p>
    <w:p>
      <w:pPr>
        <w:snapToGrid w:val="0"/>
        <w:spacing w:line="360" w:lineRule="auto"/>
        <w:jc w:val="center"/>
        <w:rPr>
          <w:rFonts w:ascii="宋体"/>
          <w:b/>
          <w:sz w:val="22"/>
          <w:szCs w:val="22"/>
        </w:rPr>
      </w:pPr>
    </w:p>
    <w:p>
      <w:pPr>
        <w:snapToGrid w:val="0"/>
        <w:spacing w:line="360" w:lineRule="auto"/>
        <w:jc w:val="center"/>
        <w:rPr>
          <w:rFonts w:ascii="宋体"/>
          <w:b/>
          <w:sz w:val="22"/>
          <w:szCs w:val="22"/>
        </w:rPr>
      </w:pPr>
      <w:r>
        <w:rPr>
          <w:rFonts w:hint="eastAsia" w:ascii="宋体" w:hAnsi="宋体"/>
          <w:b/>
          <w:sz w:val="22"/>
          <w:szCs w:val="22"/>
        </w:rPr>
        <w:t>合</w:t>
      </w:r>
      <w:r>
        <w:rPr>
          <w:rFonts w:ascii="宋体" w:hAnsi="宋体"/>
          <w:b/>
          <w:sz w:val="22"/>
          <w:szCs w:val="22"/>
        </w:rPr>
        <w:t xml:space="preserve"> </w:t>
      </w:r>
      <w:r>
        <w:rPr>
          <w:rFonts w:hint="eastAsia" w:ascii="宋体" w:hAnsi="宋体"/>
          <w:b/>
          <w:sz w:val="22"/>
          <w:szCs w:val="22"/>
        </w:rPr>
        <w:t>同</w:t>
      </w:r>
      <w:r>
        <w:rPr>
          <w:rFonts w:ascii="宋体" w:hAnsi="宋体"/>
          <w:b/>
          <w:sz w:val="22"/>
          <w:szCs w:val="22"/>
        </w:rPr>
        <w:t xml:space="preserve"> </w:t>
      </w:r>
      <w:r>
        <w:rPr>
          <w:rFonts w:hint="eastAsia" w:ascii="宋体" w:hAnsi="宋体"/>
          <w:b/>
          <w:sz w:val="22"/>
          <w:szCs w:val="22"/>
        </w:rPr>
        <w:t>附</w:t>
      </w:r>
      <w:r>
        <w:rPr>
          <w:rFonts w:ascii="宋体" w:hAnsi="宋体"/>
          <w:b/>
          <w:sz w:val="22"/>
          <w:szCs w:val="22"/>
        </w:rPr>
        <w:t xml:space="preserve"> </w:t>
      </w:r>
      <w:r>
        <w:rPr>
          <w:rFonts w:hint="eastAsia" w:ascii="宋体" w:hAnsi="宋体"/>
          <w:b/>
          <w:sz w:val="22"/>
          <w:szCs w:val="22"/>
        </w:rPr>
        <w:t>件</w:t>
      </w:r>
    </w:p>
    <w:p>
      <w:pPr>
        <w:snapToGrid w:val="0"/>
        <w:rPr>
          <w:rFonts w:ascii="宋体"/>
          <w:sz w:val="22"/>
          <w:szCs w:val="22"/>
        </w:rPr>
      </w:pPr>
      <w:r>
        <w:rPr>
          <w:rFonts w:hint="eastAsia" w:ascii="宋体" w:hAnsi="宋体"/>
          <w:sz w:val="22"/>
          <w:szCs w:val="22"/>
        </w:rPr>
        <w:t>一般货物类</w:t>
      </w:r>
    </w:p>
    <w:tbl>
      <w:tblPr>
        <w:tblStyle w:val="7"/>
        <w:tblW w:w="8928" w:type="dxa"/>
        <w:tblInd w:w="0" w:type="dxa"/>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sz w:val="22"/>
                <w:szCs w:val="22"/>
              </w:rPr>
            </w:pPr>
          </w:p>
        </w:tc>
      </w:tr>
      <w:tr>
        <w:tblPrEx>
          <w:tblCellMar>
            <w:top w:w="0" w:type="dxa"/>
            <w:left w:w="108" w:type="dxa"/>
            <w:bottom w:w="0" w:type="dxa"/>
            <w:right w:w="108" w:type="dxa"/>
          </w:tblCellMar>
        </w:tblPrEx>
        <w:trPr>
          <w:trHeight w:val="167" w:hRule="exact"/>
        </w:trPr>
        <w:tc>
          <w:tcPr>
            <w:tcW w:w="8928" w:type="dxa"/>
            <w:gridSpan w:val="2"/>
            <w:tcBorders>
              <w:left w:val="single" w:color="auto" w:sz="4" w:space="0"/>
              <w:right w:val="single" w:color="auto" w:sz="4" w:space="0"/>
            </w:tcBorders>
            <w:vAlign w:val="center"/>
          </w:tcPr>
          <w:p>
            <w:pPr>
              <w:snapToGrid w:val="0"/>
              <w:spacing w:line="400" w:lineRule="exact"/>
              <w:rPr>
                <w:rFonts w:ascii="宋体"/>
                <w:sz w:val="22"/>
                <w:szCs w:val="22"/>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sz w:val="22"/>
                <w:szCs w:val="22"/>
              </w:rPr>
            </w:pPr>
            <w:r>
              <w:rPr>
                <w:rFonts w:ascii="宋体" w:hAnsi="宋体"/>
                <w:sz w:val="22"/>
                <w:szCs w:val="22"/>
              </w:rPr>
              <w:t>2</w:t>
            </w:r>
            <w:r>
              <w:rPr>
                <w:rFonts w:hint="eastAsia" w:ascii="宋体" w:hAnsi="宋体"/>
                <w:sz w:val="22"/>
                <w:szCs w:val="22"/>
              </w:rPr>
              <w:t>、售后服务具体事项：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sz w:val="22"/>
                <w:szCs w:val="22"/>
              </w:rPr>
            </w:pPr>
          </w:p>
        </w:tc>
      </w:tr>
      <w:tr>
        <w:tblPrEx>
          <w:tblCellMar>
            <w:top w:w="0" w:type="dxa"/>
            <w:left w:w="108" w:type="dxa"/>
            <w:bottom w:w="0" w:type="dxa"/>
            <w:right w:w="108" w:type="dxa"/>
          </w:tblCellMar>
        </w:tblPrEx>
        <w:trPr>
          <w:trHeight w:val="239"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sz w:val="22"/>
                <w:szCs w:val="22"/>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sz w:val="22"/>
                <w:szCs w:val="22"/>
              </w:rPr>
            </w:pPr>
            <w:r>
              <w:rPr>
                <w:rFonts w:ascii="宋体" w:hAnsi="宋体"/>
                <w:sz w:val="22"/>
                <w:szCs w:val="22"/>
              </w:rPr>
              <w:t>3</w:t>
            </w:r>
            <w:r>
              <w:rPr>
                <w:rFonts w:hint="eastAsia" w:ascii="宋体" w:hAnsi="宋体"/>
                <w:sz w:val="22"/>
                <w:szCs w:val="22"/>
              </w:rPr>
              <w:t>、保修期责任：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sz w:val="22"/>
                <w:szCs w:val="22"/>
              </w:rPr>
            </w:pPr>
          </w:p>
        </w:tc>
      </w:tr>
      <w:tr>
        <w:tblPrEx>
          <w:tblCellMar>
            <w:top w:w="0" w:type="dxa"/>
            <w:left w:w="108" w:type="dxa"/>
            <w:bottom w:w="0" w:type="dxa"/>
            <w:right w:w="108" w:type="dxa"/>
          </w:tblCellMar>
        </w:tblPrEx>
        <w:trPr>
          <w:trHeight w:val="213" w:hRule="exact"/>
        </w:trPr>
        <w:tc>
          <w:tcPr>
            <w:tcW w:w="8928" w:type="dxa"/>
            <w:gridSpan w:val="2"/>
            <w:tcBorders>
              <w:left w:val="single" w:color="auto" w:sz="4" w:space="0"/>
              <w:right w:val="single" w:color="auto" w:sz="4" w:space="0"/>
            </w:tcBorders>
            <w:vAlign w:val="center"/>
          </w:tcPr>
          <w:p>
            <w:pPr>
              <w:snapToGrid w:val="0"/>
              <w:spacing w:line="400" w:lineRule="exact"/>
              <w:ind w:firstLine="440" w:firstLineChars="200"/>
              <w:rPr>
                <w:rFonts w:ascii="宋体"/>
                <w:sz w:val="22"/>
                <w:szCs w:val="22"/>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40" w:firstLineChars="200"/>
              <w:rPr>
                <w:rFonts w:ascii="宋体"/>
                <w:sz w:val="22"/>
                <w:szCs w:val="22"/>
              </w:rPr>
            </w:pPr>
            <w:r>
              <w:rPr>
                <w:rFonts w:ascii="宋体" w:hAnsi="宋体"/>
                <w:sz w:val="22"/>
                <w:szCs w:val="22"/>
              </w:rPr>
              <w:t>4</w:t>
            </w:r>
            <w:r>
              <w:rPr>
                <w:rFonts w:hint="eastAsia" w:ascii="宋体" w:hAnsi="宋体"/>
                <w:sz w:val="22"/>
                <w:szCs w:val="22"/>
              </w:rPr>
              <w:t>、其他具体事项：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spacing w:line="400" w:lineRule="exact"/>
              <w:ind w:firstLine="442" w:firstLineChars="200"/>
              <w:rPr>
                <w:rFonts w:ascii="宋体"/>
                <w:b/>
                <w:sz w:val="22"/>
                <w:szCs w:val="22"/>
              </w:rPr>
            </w:pPr>
          </w:p>
        </w:tc>
      </w:tr>
      <w:tr>
        <w:tblPrEx>
          <w:tblCellMar>
            <w:top w:w="0" w:type="dxa"/>
            <w:left w:w="108" w:type="dxa"/>
            <w:bottom w:w="0" w:type="dxa"/>
            <w:right w:w="108" w:type="dxa"/>
          </w:tblCellMar>
        </w:tblPrEx>
        <w:trPr>
          <w:trHeight w:val="1596"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40" w:firstLineChars="200"/>
              <w:rPr>
                <w:rFonts w:ascii="宋体"/>
                <w:sz w:val="22"/>
                <w:szCs w:val="22"/>
              </w:rPr>
            </w:pPr>
            <w:r>
              <w:rPr>
                <w:rFonts w:hint="eastAsia" w:ascii="宋体" w:hAnsi="宋体"/>
                <w:sz w:val="22"/>
                <w:szCs w:val="22"/>
              </w:rPr>
              <w:t>甲方（章）</w:t>
            </w:r>
          </w:p>
          <w:p>
            <w:pPr>
              <w:snapToGrid w:val="0"/>
              <w:spacing w:line="400" w:lineRule="exact"/>
              <w:ind w:firstLine="440" w:firstLineChars="200"/>
              <w:rPr>
                <w:rFonts w:ascii="宋体"/>
                <w:sz w:val="22"/>
                <w:szCs w:val="22"/>
              </w:rPr>
            </w:pPr>
          </w:p>
          <w:p>
            <w:pPr>
              <w:snapToGrid w:val="0"/>
              <w:spacing w:line="400" w:lineRule="exact"/>
              <w:ind w:firstLine="440" w:firstLineChars="200"/>
              <w:rPr>
                <w:rFonts w:ascii="宋体"/>
                <w:sz w:val="22"/>
                <w:szCs w:val="22"/>
              </w:rPr>
            </w:pPr>
          </w:p>
          <w:p>
            <w:pPr>
              <w:snapToGrid w:val="0"/>
              <w:spacing w:line="400" w:lineRule="exact"/>
              <w:ind w:firstLine="440" w:firstLineChars="200"/>
              <w:rPr>
                <w:rFonts w:ascii="宋体"/>
                <w:sz w:val="22"/>
                <w:szCs w:val="22"/>
              </w:rPr>
            </w:pP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r>
              <w:rPr>
                <w:rFonts w:ascii="宋体" w:hAnsi="宋体"/>
                <w:sz w:val="22"/>
                <w:szCs w:val="22"/>
              </w:rPr>
              <w:t xml:space="preserve">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40" w:firstLineChars="200"/>
              <w:rPr>
                <w:rFonts w:ascii="宋体"/>
                <w:sz w:val="22"/>
                <w:szCs w:val="22"/>
              </w:rPr>
            </w:pPr>
            <w:r>
              <w:rPr>
                <w:rFonts w:hint="eastAsia" w:ascii="宋体" w:hAnsi="宋体"/>
                <w:sz w:val="22"/>
                <w:szCs w:val="22"/>
              </w:rPr>
              <w:t>乙方（章）</w:t>
            </w:r>
          </w:p>
          <w:p>
            <w:pPr>
              <w:snapToGrid w:val="0"/>
              <w:spacing w:line="400" w:lineRule="exact"/>
              <w:ind w:firstLine="440" w:firstLineChars="200"/>
              <w:rPr>
                <w:rFonts w:ascii="宋体"/>
                <w:sz w:val="22"/>
                <w:szCs w:val="22"/>
              </w:rPr>
            </w:pPr>
          </w:p>
          <w:p>
            <w:pPr>
              <w:snapToGrid w:val="0"/>
              <w:spacing w:line="400" w:lineRule="exact"/>
              <w:ind w:firstLine="440" w:firstLineChars="200"/>
              <w:rPr>
                <w:rFonts w:ascii="宋体"/>
                <w:sz w:val="22"/>
                <w:szCs w:val="22"/>
              </w:rPr>
            </w:pPr>
          </w:p>
          <w:p>
            <w:pPr>
              <w:snapToGrid w:val="0"/>
              <w:spacing w:line="400" w:lineRule="exact"/>
              <w:ind w:firstLine="440" w:firstLineChars="200"/>
              <w:rPr>
                <w:rFonts w:ascii="宋体"/>
                <w:sz w:val="22"/>
                <w:szCs w:val="22"/>
              </w:rPr>
            </w:pP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tc>
      </w:tr>
    </w:tbl>
    <w:p>
      <w:pPr>
        <w:snapToGrid w:val="0"/>
        <w:rPr>
          <w:rFonts w:ascii="宋体"/>
          <w:sz w:val="22"/>
          <w:szCs w:val="22"/>
        </w:rPr>
      </w:pPr>
      <w:r>
        <w:rPr>
          <w:rFonts w:hint="eastAsia" w:ascii="宋体" w:hAnsi="宋体"/>
          <w:sz w:val="22"/>
          <w:szCs w:val="22"/>
        </w:rPr>
        <w:t>注：售后服务事项填不下时可另加附页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52329C"/>
    <w:multiLevelType w:val="singleLevel"/>
    <w:tmpl w:val="FB52329C"/>
    <w:lvl w:ilvl="0" w:tentative="0">
      <w:start w:val="1"/>
      <w:numFmt w:val="decimal"/>
      <w:pStyle w:val="2"/>
      <w:lvlText w:val="%1."/>
      <w:lvlJc w:val="left"/>
      <w:pPr>
        <w:tabs>
          <w:tab w:val="left" w:pos="360"/>
        </w:tabs>
        <w:ind w:left="360" w:hanging="360"/>
      </w:pPr>
    </w:lvl>
  </w:abstractNum>
  <w:abstractNum w:abstractNumId="1">
    <w:nsid w:val="73863712"/>
    <w:multiLevelType w:val="multilevel"/>
    <w:tmpl w:val="73863712"/>
    <w:lvl w:ilvl="0" w:tentative="0">
      <w:start w:val="1"/>
      <w:numFmt w:val="japaneseCounting"/>
      <w:lvlText w:val="%1、"/>
      <w:lvlJc w:val="left"/>
      <w:pPr>
        <w:ind w:left="922" w:hanging="48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76483"/>
    <w:rsid w:val="09284A93"/>
    <w:rsid w:val="0C937E55"/>
    <w:rsid w:val="172D4382"/>
    <w:rsid w:val="3DEC3F1E"/>
    <w:rsid w:val="3E66520C"/>
    <w:rsid w:val="42A01065"/>
    <w:rsid w:val="5A7F48E7"/>
    <w:rsid w:val="62763324"/>
    <w:rsid w:val="7F0A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Body Text Indent"/>
    <w:basedOn w:val="1"/>
    <w:qFormat/>
    <w:uiPriority w:val="99"/>
    <w:pPr>
      <w:ind w:firstLine="830" w:firstLineChars="352"/>
    </w:pPr>
    <w:rPr>
      <w:rFonts w:ascii="仿宋_GB2312" w:eastAsia="仿宋_GB2312"/>
      <w:sz w:val="32"/>
      <w:szCs w:val="20"/>
    </w:rPr>
  </w:style>
  <w:style w:type="paragraph" w:styleId="4">
    <w:name w:val="Plain Text"/>
    <w:basedOn w:val="1"/>
    <w:qFormat/>
    <w:uiPriority w:val="0"/>
    <w:rPr>
      <w:rFonts w:ascii="宋体" w:hAnsi="Courier New" w:cs="Courier New"/>
      <w:szCs w:val="21"/>
    </w:rPr>
  </w:style>
  <w:style w:type="paragraph" w:styleId="5">
    <w:name w:val="Body Text Indent 3"/>
    <w:basedOn w:val="1"/>
    <w:qFormat/>
    <w:uiPriority w:val="99"/>
    <w:pPr>
      <w:spacing w:after="120"/>
      <w:ind w:left="420" w:leftChars="200"/>
    </w:pPr>
    <w:rPr>
      <w:sz w:val="16"/>
      <w:szCs w:val="16"/>
    </w:rPr>
  </w:style>
  <w:style w:type="paragraph" w:styleId="6">
    <w:name w:val="Body Text 2"/>
    <w:basedOn w:val="1"/>
    <w:qFormat/>
    <w:uiPriority w:val="99"/>
    <w:pPr>
      <w:spacing w:after="120" w:line="480" w:lineRule="auto"/>
    </w:pPr>
  </w:style>
  <w:style w:type="paragraph" w:customStyle="1" w:styleId="9">
    <w:name w:val="列出段落1"/>
    <w:basedOn w:val="1"/>
    <w:qFormat/>
    <w:uiPriority w:val="34"/>
    <w:pPr>
      <w:ind w:firstLine="420" w:firstLineChars="200"/>
    </w:pPr>
  </w:style>
  <w:style w:type="paragraph" w:customStyle="1" w:styleId="10">
    <w:name w:val="默认"/>
    <w:basedOn w:val="1"/>
    <w:qFormat/>
    <w:uiPriority w:val="0"/>
    <w:pPr>
      <w:autoSpaceDE w:val="0"/>
      <w:autoSpaceDN w:val="0"/>
      <w:jc w:val="left"/>
    </w:pPr>
    <w:rPr>
      <w:rFonts w:ascii="Arial Unicode MS" w:hAnsi="Arial Unicode MS" w:eastAsia="Times New Roman" w:cs="Arial Unicode MS"/>
      <w:color w:val="000000"/>
      <w:kern w:val="0"/>
      <w:sz w:val="22"/>
      <w:szCs w:val="22"/>
      <w:lang w:val="zh-CN" w:bidi="zh-CN"/>
    </w:rPr>
  </w:style>
  <w:style w:type="paragraph" w:styleId="11">
    <w:name w:val="List Paragraph"/>
    <w:basedOn w:val="1"/>
    <w:qFormat/>
    <w:uiPriority w:val="99"/>
    <w:pPr>
      <w:autoSpaceDE w:val="0"/>
      <w:autoSpaceDN w:val="0"/>
      <w:spacing w:before="170"/>
      <w:ind w:left="240" w:firstLine="427"/>
      <w:jc w:val="left"/>
    </w:pPr>
    <w:rPr>
      <w:rFonts w:ascii="宋体" w:hAnsi="宋体" w:cs="宋体"/>
      <w:kern w:val="0"/>
      <w:sz w:val="22"/>
      <w:szCs w:val="22"/>
      <w:lang w:val="zh-CN" w:bidi="zh-CN"/>
    </w:r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2020-11-09T02:40:00Z</dcterms:created>
  <dc:creator>DELL.DELL-PC</dc:creator>
  <cp:lastModifiedBy>Jianbo_Lee</cp:lastModifiedBy>
  <dcterms:modified xsi:type="dcterms:W3CDTF">2020-11-13T03:14:27Z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